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5377193"/>
      <w:bookmarkStart w:id="2" w:name="_Toc15378441"/>
      <w:bookmarkStart w:id="3" w:name="_Toc15396597"/>
      <w:bookmarkStart w:id="4" w:name="_Toc27226"/>
      <w:bookmarkStart w:id="5" w:name="_Toc15396475"/>
      <w:bookmarkStart w:id="6" w:name="_Toc15377425"/>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7" w:name="_Toc15396476"/>
      <w:bookmarkStart w:id="8" w:name="_Toc15378442"/>
      <w:bookmarkStart w:id="9" w:name="_Toc15377194"/>
      <w:bookmarkStart w:id="10" w:name="_Toc15377426"/>
      <w:bookmarkStart w:id="11" w:name="_Toc15396598"/>
      <w:bookmarkStart w:id="12" w:name="_Toc12145"/>
      <w:r>
        <w:rPr>
          <w:rFonts w:hint="eastAsia" w:ascii="方正小标宋简体" w:hAnsi="方正小标宋简体" w:eastAsia="方正小标宋简体" w:cs="方正小标宋简体"/>
          <w:color w:val="auto"/>
          <w:sz w:val="72"/>
          <w:szCs w:val="72"/>
          <w:highlight w:val="none"/>
          <w:lang w:eastAsia="zh-CN"/>
        </w:rPr>
        <w:t>广元市</w:t>
      </w:r>
      <w:bookmarkEnd w:id="0"/>
      <w:bookmarkStart w:id="13" w:name="_Toc15306268"/>
      <w:r>
        <w:rPr>
          <w:rFonts w:hint="eastAsia" w:ascii="方正小标宋简体" w:hAnsi="方正小标宋简体" w:eastAsia="方正小标宋简体" w:cs="方正小标宋简体"/>
          <w:color w:val="auto"/>
          <w:sz w:val="72"/>
          <w:szCs w:val="72"/>
          <w:highlight w:val="none"/>
          <w:lang w:eastAsia="zh-CN"/>
        </w:rPr>
        <w:t>财政局单位</w:t>
      </w:r>
      <w:r>
        <w:rPr>
          <w:rFonts w:hint="eastAsia" w:ascii="方正小标宋简体" w:hAnsi="方正小标宋简体" w:eastAsia="方正小标宋简体" w:cs="方正小标宋简体"/>
          <w:color w:val="auto"/>
          <w:sz w:val="72"/>
          <w:szCs w:val="72"/>
          <w:highlight w:val="none"/>
        </w:rPr>
        <w:t>决算</w:t>
      </w:r>
      <w:bookmarkEnd w:id="7"/>
      <w:bookmarkEnd w:id="8"/>
      <w:bookmarkEnd w:id="9"/>
      <w:bookmarkEnd w:id="10"/>
      <w:bookmarkEnd w:id="11"/>
      <w:bookmarkEnd w:id="12"/>
      <w:bookmarkEnd w:id="13"/>
    </w:p>
    <w:p>
      <w:pPr>
        <w:widowControl/>
        <w:jc w:val="center"/>
        <w:rPr>
          <w:rFonts w:ascii="黑体" w:hAnsi="黑体" w:eastAsia="黑体" w:cstheme="minorBidi"/>
          <w:color w:val="auto"/>
          <w:sz w:val="28"/>
          <w:szCs w:val="2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w:t>
      </w:r>
      <w:r>
        <w:rPr>
          <w:rFonts w:hint="eastAsia" w:ascii="黑体" w:hAnsi="黑体" w:eastAsia="黑体"/>
          <w:color w:val="auto"/>
          <w:sz w:val="48"/>
          <w:szCs w:val="48"/>
          <w:highlight w:val="none"/>
          <w:lang w:val="en-US" w:eastAsia="zh-CN"/>
        </w:rPr>
        <w:t xml:space="preserve"> </w:t>
      </w:r>
      <w:r>
        <w:rPr>
          <w:rFonts w:hint="eastAsia" w:ascii="黑体" w:hAnsi="黑体" w:eastAsia="黑体"/>
          <w:color w:val="auto"/>
          <w:sz w:val="48"/>
          <w:szCs w:val="48"/>
          <w:highlight w:val="none"/>
        </w:rPr>
        <w:t>录</w:t>
      </w:r>
    </w:p>
    <w:p>
      <w:pPr>
        <w:pStyle w:val="11"/>
        <w:rPr>
          <w:color w:val="auto"/>
          <w:highlight w:val="yellow"/>
        </w:rPr>
      </w:pPr>
      <w:r>
        <w:rPr>
          <w:rFonts w:hint="eastAsia"/>
          <w:color w:val="auto"/>
          <w:highlight w:val="yellow"/>
        </w:rPr>
        <w:t>公开时间：20</w:t>
      </w:r>
      <w:r>
        <w:rPr>
          <w:rFonts w:hint="eastAsia"/>
          <w:color w:val="auto"/>
          <w:highlight w:val="yellow"/>
          <w:lang w:val="en-US" w:eastAsia="zh-CN"/>
        </w:rPr>
        <w:t>23</w:t>
      </w:r>
      <w:r>
        <w:rPr>
          <w:rFonts w:hint="eastAsia"/>
          <w:color w:val="auto"/>
          <w:highlight w:val="yellow"/>
        </w:rPr>
        <w:t>年</w:t>
      </w:r>
      <w:r>
        <w:rPr>
          <w:rFonts w:hint="eastAsia"/>
          <w:color w:val="auto"/>
          <w:highlight w:val="yellow"/>
          <w:lang w:val="en-US" w:eastAsia="zh-CN"/>
        </w:rPr>
        <w:t>10</w:t>
      </w:r>
      <w:r>
        <w:rPr>
          <w:rFonts w:hint="eastAsia"/>
          <w:color w:val="auto"/>
          <w:highlight w:val="yellow"/>
        </w:rPr>
        <w:t>月</w:t>
      </w:r>
      <w:r>
        <w:rPr>
          <w:rFonts w:hint="eastAsia"/>
          <w:color w:val="auto"/>
          <w:highlight w:val="yellow"/>
          <w:lang w:val="en-US" w:eastAsia="zh-CN"/>
        </w:rPr>
        <w:t>15</w:t>
      </w:r>
      <w:r>
        <w:rPr>
          <w:rFonts w:hint="eastAsia"/>
          <w:color w:val="auto"/>
          <w:highlight w:val="yellow"/>
        </w:rPr>
        <w:t>日</w:t>
      </w:r>
    </w:p>
    <w:p>
      <w:pPr>
        <w:rPr>
          <w:rFonts w:hint="eastAsia" w:ascii="黑体" w:hAnsi="黑体" w:eastAsia="黑体"/>
          <w:b w:val="0"/>
          <w:color w:val="auto"/>
          <w:highlight w:val="none"/>
        </w:rPr>
      </w:pPr>
      <w:bookmarkStart w:id="157" w:name="_GoBack"/>
      <w:bookmarkEnd w:id="157"/>
    </w:p>
    <w:sdt>
      <w:sdtPr>
        <w:rPr>
          <w:rFonts w:ascii="宋体" w:hAnsi="宋体" w:eastAsia="宋体" w:cs="Times New Roman"/>
          <w:kern w:val="2"/>
          <w:sz w:val="21"/>
          <w:szCs w:val="24"/>
          <w:lang w:val="en-US" w:eastAsia="zh-CN" w:bidi="ar-SA"/>
        </w:rPr>
        <w:id w:val="147478251"/>
        <w15:color w:val="DBDBDB"/>
        <w:docPartObj>
          <w:docPartGallery w:val="Table of Contents"/>
          <w:docPartUnique/>
        </w:docPartObj>
      </w:sdtPr>
      <w:sdtEndPr>
        <w:rPr>
          <w:rFonts w:hint="eastAsia" w:ascii="黑体" w:hAnsi="黑体" w:eastAsia="黑体" w:cs="Times New Roman"/>
          <w:b/>
          <w:bCs/>
          <w:color w:val="auto"/>
          <w:kern w:val="44"/>
          <w:sz w:val="21"/>
          <w:szCs w:val="44"/>
          <w:highlight w:val="none"/>
          <w:lang w:val="en-US" w:eastAsia="zh-CN" w:bidi="ar-SA"/>
        </w:rPr>
      </w:sdtEndPr>
      <w:sdtContent>
        <w:p>
          <w:pPr>
            <w:spacing w:before="0" w:beforeLines="0" w:after="0" w:afterLines="0" w:line="240" w:lineRule="auto"/>
            <w:ind w:left="0" w:leftChars="0" w:right="0" w:rightChars="0" w:firstLine="0" w:firstLineChars="0"/>
            <w:jc w:val="center"/>
            <w:rPr>
              <w:b/>
            </w:rPr>
          </w:pPr>
          <w:r>
            <w:rPr>
              <w:rFonts w:hint="eastAsia" w:ascii="黑体" w:hAnsi="黑体" w:eastAsia="黑体" w:cs="Times New Roman"/>
              <w:b w:val="0"/>
              <w:bCs/>
              <w:color w:val="auto"/>
              <w:kern w:val="44"/>
              <w:sz w:val="44"/>
              <w:szCs w:val="44"/>
              <w:highlight w:val="none"/>
              <w:lang w:val="en-US" w:eastAsia="zh-CN" w:bidi="ar-SA"/>
            </w:rPr>
            <w:fldChar w:fldCharType="begin"/>
          </w:r>
          <w:r>
            <w:rPr>
              <w:rFonts w:hint="eastAsia" w:ascii="黑体" w:hAnsi="黑体" w:eastAsia="黑体" w:cs="Times New Roman"/>
              <w:b w:val="0"/>
              <w:bCs/>
              <w:color w:val="auto"/>
              <w:kern w:val="44"/>
              <w:sz w:val="44"/>
              <w:szCs w:val="44"/>
              <w:highlight w:val="none"/>
              <w:lang w:val="en-US" w:eastAsia="zh-CN" w:bidi="ar-SA"/>
            </w:rPr>
            <w:instrText xml:space="preserve">TOC \o "1-2" \h \u </w:instrText>
          </w:r>
          <w:r>
            <w:rPr>
              <w:rFonts w:hint="eastAsia" w:ascii="黑体" w:hAnsi="黑体" w:eastAsia="黑体" w:cs="Times New Roman"/>
              <w:b w:val="0"/>
              <w:bCs/>
              <w:color w:val="auto"/>
              <w:kern w:val="44"/>
              <w:sz w:val="44"/>
              <w:szCs w:val="44"/>
              <w:highlight w:val="none"/>
              <w:lang w:val="en-US" w:eastAsia="zh-CN" w:bidi="ar-SA"/>
            </w:rPr>
            <w:fldChar w:fldCharType="separate"/>
          </w:r>
        </w:p>
        <w:p>
          <w:pPr>
            <w:pStyle w:val="33"/>
            <w:tabs>
              <w:tab w:val="right" w:leader="dot" w:pos="8845"/>
            </w:tabs>
            <w:rPr>
              <w:b/>
            </w:rPr>
          </w:pPr>
          <w:r>
            <w:rPr>
              <w:rFonts w:hint="eastAsia" w:ascii="黑体" w:hAnsi="黑体" w:eastAsia="黑体" w:cs="Times New Roman"/>
              <w:b/>
              <w:bCs/>
              <w:color w:val="auto"/>
              <w:kern w:val="44"/>
              <w:szCs w:val="44"/>
              <w:highlight w:val="none"/>
              <w:lang w:val="en-US" w:eastAsia="zh-CN" w:bidi="ar-SA"/>
            </w:rPr>
            <w:fldChar w:fldCharType="begin"/>
          </w:r>
          <w:r>
            <w:rPr>
              <w:rFonts w:hint="eastAsia" w:ascii="黑体" w:hAnsi="黑体" w:eastAsia="黑体" w:cs="Times New Roman"/>
              <w:b/>
              <w:bCs/>
              <w:kern w:val="44"/>
              <w:szCs w:val="44"/>
              <w:highlight w:val="none"/>
              <w:lang w:val="en-US" w:eastAsia="zh-CN" w:bidi="ar-SA"/>
            </w:rPr>
            <w:instrText xml:space="preserve"> HYPERLINK \l _Toc24295 </w:instrText>
          </w:r>
          <w:r>
            <w:rPr>
              <w:rFonts w:hint="eastAsia" w:ascii="黑体" w:hAnsi="黑体" w:eastAsia="黑体" w:cs="Times New Roman"/>
              <w:b/>
              <w:bCs/>
              <w:kern w:val="44"/>
              <w:szCs w:val="44"/>
              <w:highlight w:val="none"/>
              <w:lang w:val="en-US" w:eastAsia="zh-CN" w:bidi="ar-SA"/>
            </w:rPr>
            <w:fldChar w:fldCharType="separate"/>
          </w:r>
          <w:r>
            <w:rPr>
              <w:rFonts w:hint="eastAsia" w:ascii="黑体" w:hAnsi="黑体" w:eastAsia="黑体" w:cs="Times New Roman"/>
              <w:b/>
              <w:bCs/>
              <w:kern w:val="44"/>
              <w:szCs w:val="44"/>
              <w:highlight w:val="none"/>
              <w:lang w:val="en-US" w:eastAsia="zh-CN" w:bidi="ar-SA"/>
            </w:rPr>
            <w:t>第一部分 单位概况</w:t>
          </w:r>
          <w:r>
            <w:rPr>
              <w:b/>
            </w:rPr>
            <w:tab/>
          </w:r>
          <w:r>
            <w:rPr>
              <w:b/>
            </w:rPr>
            <w:fldChar w:fldCharType="begin"/>
          </w:r>
          <w:r>
            <w:rPr>
              <w:b/>
            </w:rPr>
            <w:instrText xml:space="preserve"> PAGEREF _Toc24295 \h </w:instrText>
          </w:r>
          <w:r>
            <w:rPr>
              <w:b/>
            </w:rPr>
            <w:fldChar w:fldCharType="separate"/>
          </w:r>
          <w:r>
            <w:rPr>
              <w:b/>
            </w:rPr>
            <w:t>1</w:t>
          </w:r>
          <w:r>
            <w:rPr>
              <w:b/>
            </w:rPr>
            <w:fldChar w:fldCharType="end"/>
          </w:r>
          <w:r>
            <w:rPr>
              <w:rFonts w:hint="eastAsia" w:ascii="黑体" w:hAnsi="黑体" w:eastAsia="黑体" w:cs="Times New Roman"/>
              <w:b/>
              <w:bCs/>
              <w:color w:val="auto"/>
              <w:kern w:val="44"/>
              <w:szCs w:val="44"/>
              <w:highlight w:val="none"/>
              <w:lang w:val="en-US" w:eastAsia="zh-CN" w:bidi="ar-SA"/>
            </w:rPr>
            <w:fldChar w:fldCharType="end"/>
          </w:r>
        </w:p>
        <w:p>
          <w:pPr>
            <w:pStyle w:val="32"/>
            <w:tabs>
              <w:tab w:val="right" w:leader="dot" w:pos="8845"/>
            </w:tabs>
          </w:pPr>
          <w:r>
            <w:rPr>
              <w:rFonts w:hint="eastAsia" w:ascii="黑体" w:hAnsi="黑体" w:eastAsia="黑体" w:cs="Times New Roman"/>
              <w:bCs/>
              <w:color w:val="auto"/>
              <w:kern w:val="44"/>
              <w:szCs w:val="44"/>
              <w:highlight w:val="none"/>
              <w:lang w:val="en-US" w:eastAsia="zh-CN" w:bidi="ar-SA"/>
            </w:rPr>
            <w:fldChar w:fldCharType="begin"/>
          </w:r>
          <w:r>
            <w:rPr>
              <w:rFonts w:hint="eastAsia" w:ascii="黑体" w:hAnsi="黑体" w:eastAsia="黑体" w:cs="Times New Roman"/>
              <w:bCs/>
              <w:kern w:val="44"/>
              <w:szCs w:val="44"/>
              <w:highlight w:val="none"/>
              <w:lang w:val="en-US" w:eastAsia="zh-CN" w:bidi="ar-SA"/>
            </w:rPr>
            <w:instrText xml:space="preserve"> HYPERLINK \l _Toc6087 </w:instrText>
          </w:r>
          <w:r>
            <w:rPr>
              <w:rFonts w:hint="eastAsia" w:ascii="黑体" w:hAnsi="黑体" w:eastAsia="黑体" w:cs="Times New Roman"/>
              <w:bCs/>
              <w:kern w:val="44"/>
              <w:szCs w:val="44"/>
              <w:highlight w:val="none"/>
              <w:lang w:val="en-US" w:eastAsia="zh-CN" w:bidi="ar-SA"/>
            </w:rPr>
            <w:fldChar w:fldCharType="separate"/>
          </w:r>
          <w:r>
            <w:rPr>
              <w:rFonts w:hint="eastAsia" w:ascii="黑体" w:hAnsi="黑体" w:eastAsia="黑体"/>
              <w:bCs w:val="0"/>
              <w:highlight w:val="none"/>
              <w:lang w:eastAsia="zh-CN"/>
            </w:rPr>
            <w:t>一、主要职责</w:t>
          </w:r>
          <w:r>
            <w:tab/>
          </w:r>
          <w:r>
            <w:fldChar w:fldCharType="begin"/>
          </w:r>
          <w:r>
            <w:instrText xml:space="preserve"> PAGEREF _Toc6087 \h </w:instrText>
          </w:r>
          <w:r>
            <w:fldChar w:fldCharType="separate"/>
          </w:r>
          <w:r>
            <w:t>1</w:t>
          </w:r>
          <w:r>
            <w:fldChar w:fldCharType="end"/>
          </w:r>
          <w:r>
            <w:rPr>
              <w:rFonts w:hint="eastAsia" w:ascii="黑体" w:hAnsi="黑体" w:eastAsia="黑体" w:cs="Times New Roman"/>
              <w:bCs/>
              <w:color w:val="auto"/>
              <w:kern w:val="44"/>
              <w:szCs w:val="44"/>
              <w:highlight w:val="none"/>
              <w:lang w:val="en-US" w:eastAsia="zh-CN" w:bidi="ar-SA"/>
            </w:rPr>
            <w:fldChar w:fldCharType="end"/>
          </w:r>
        </w:p>
        <w:p>
          <w:pPr>
            <w:pStyle w:val="32"/>
            <w:tabs>
              <w:tab w:val="right" w:leader="dot" w:pos="8845"/>
            </w:tabs>
          </w:pPr>
          <w:r>
            <w:rPr>
              <w:rFonts w:hint="eastAsia" w:ascii="黑体" w:hAnsi="黑体" w:eastAsia="黑体" w:cs="Times New Roman"/>
              <w:bCs/>
              <w:color w:val="auto"/>
              <w:kern w:val="44"/>
              <w:szCs w:val="44"/>
              <w:highlight w:val="none"/>
              <w:lang w:val="en-US" w:eastAsia="zh-CN" w:bidi="ar-SA"/>
            </w:rPr>
            <w:fldChar w:fldCharType="begin"/>
          </w:r>
          <w:r>
            <w:rPr>
              <w:rFonts w:hint="eastAsia" w:ascii="黑体" w:hAnsi="黑体" w:eastAsia="黑体" w:cs="Times New Roman"/>
              <w:bCs/>
              <w:kern w:val="44"/>
              <w:szCs w:val="44"/>
              <w:highlight w:val="none"/>
              <w:lang w:val="en-US" w:eastAsia="zh-CN" w:bidi="ar-SA"/>
            </w:rPr>
            <w:instrText xml:space="preserve"> HYPERLINK \l _Toc3344 </w:instrText>
          </w:r>
          <w:r>
            <w:rPr>
              <w:rFonts w:hint="eastAsia" w:ascii="黑体" w:hAnsi="黑体" w:eastAsia="黑体" w:cs="Times New Roman"/>
              <w:bCs/>
              <w:kern w:val="44"/>
              <w:szCs w:val="44"/>
              <w:highlight w:val="none"/>
              <w:lang w:val="en-US" w:eastAsia="zh-CN" w:bidi="ar-SA"/>
            </w:rPr>
            <w:fldChar w:fldCharType="separate"/>
          </w:r>
          <w:r>
            <w:rPr>
              <w:rFonts w:hint="eastAsia" w:ascii="黑体" w:hAnsi="黑体" w:eastAsia="黑体"/>
              <w:highlight w:val="none"/>
              <w:lang w:val="en-US" w:eastAsia="zh-CN"/>
            </w:rPr>
            <w:t>二、机构设置</w:t>
          </w:r>
          <w:r>
            <w:tab/>
          </w:r>
          <w:r>
            <w:fldChar w:fldCharType="begin"/>
          </w:r>
          <w:r>
            <w:instrText xml:space="preserve"> PAGEREF _Toc3344 \h </w:instrText>
          </w:r>
          <w:r>
            <w:fldChar w:fldCharType="separate"/>
          </w:r>
          <w:r>
            <w:t>2</w:t>
          </w:r>
          <w:r>
            <w:fldChar w:fldCharType="end"/>
          </w:r>
          <w:r>
            <w:rPr>
              <w:rFonts w:hint="eastAsia" w:ascii="黑体" w:hAnsi="黑体" w:eastAsia="黑体" w:cs="Times New Roman"/>
              <w:bCs/>
              <w:color w:val="auto"/>
              <w:kern w:val="44"/>
              <w:szCs w:val="44"/>
              <w:highlight w:val="none"/>
              <w:lang w:val="en-US" w:eastAsia="zh-CN" w:bidi="ar-SA"/>
            </w:rPr>
            <w:fldChar w:fldCharType="end"/>
          </w:r>
        </w:p>
        <w:p>
          <w:pPr>
            <w:pStyle w:val="33"/>
            <w:tabs>
              <w:tab w:val="right" w:leader="dot" w:pos="8845"/>
            </w:tabs>
            <w:rPr>
              <w:b/>
            </w:rPr>
          </w:pPr>
          <w:r>
            <w:rPr>
              <w:rFonts w:hint="eastAsia" w:ascii="黑体" w:hAnsi="黑体" w:eastAsia="黑体" w:cs="Times New Roman"/>
              <w:b/>
              <w:bCs/>
              <w:color w:val="auto"/>
              <w:kern w:val="44"/>
              <w:szCs w:val="44"/>
              <w:highlight w:val="none"/>
              <w:lang w:val="en-US" w:eastAsia="zh-CN" w:bidi="ar-SA"/>
            </w:rPr>
            <w:fldChar w:fldCharType="begin"/>
          </w:r>
          <w:r>
            <w:rPr>
              <w:rFonts w:hint="eastAsia" w:ascii="黑体" w:hAnsi="黑体" w:eastAsia="黑体" w:cs="Times New Roman"/>
              <w:b/>
              <w:bCs/>
              <w:kern w:val="44"/>
              <w:szCs w:val="44"/>
              <w:highlight w:val="none"/>
              <w:lang w:val="en-US" w:eastAsia="zh-CN" w:bidi="ar-SA"/>
            </w:rPr>
            <w:instrText xml:space="preserve"> HYPERLINK \l _Toc11364 </w:instrText>
          </w:r>
          <w:r>
            <w:rPr>
              <w:rFonts w:hint="eastAsia" w:ascii="黑体" w:hAnsi="黑体" w:eastAsia="黑体" w:cs="Times New Roman"/>
              <w:b/>
              <w:bCs/>
              <w:kern w:val="44"/>
              <w:szCs w:val="44"/>
              <w:highlight w:val="none"/>
              <w:lang w:val="en-US" w:eastAsia="zh-CN" w:bidi="ar-SA"/>
            </w:rPr>
            <w:fldChar w:fldCharType="separate"/>
          </w:r>
          <w:r>
            <w:rPr>
              <w:rFonts w:hint="eastAsia" w:ascii="黑体" w:hAnsi="黑体" w:eastAsia="黑体"/>
              <w:b/>
              <w:bCs/>
              <w:highlight w:val="none"/>
            </w:rPr>
            <w:t xml:space="preserve">第二部分 </w:t>
          </w:r>
          <w:r>
            <w:rPr>
              <w:rFonts w:hint="eastAsia" w:ascii="黑体" w:hAnsi="黑体" w:eastAsia="黑体"/>
              <w:b/>
              <w:bCs/>
              <w:highlight w:val="none"/>
              <w:lang w:val="en-US" w:eastAsia="zh-CN"/>
            </w:rPr>
            <w:t>2022年度</w:t>
          </w:r>
          <w:r>
            <w:rPr>
              <w:rFonts w:hint="eastAsia" w:ascii="黑体" w:hAnsi="黑体" w:eastAsia="黑体"/>
              <w:b/>
              <w:bCs/>
              <w:highlight w:val="none"/>
              <w:lang w:eastAsia="zh-CN"/>
            </w:rPr>
            <w:t>单位</w:t>
          </w:r>
          <w:r>
            <w:rPr>
              <w:rFonts w:hint="eastAsia" w:ascii="黑体" w:hAnsi="黑体" w:eastAsia="黑体"/>
              <w:b/>
              <w:bCs/>
              <w:highlight w:val="none"/>
            </w:rPr>
            <w:t>决算情况说明</w:t>
          </w:r>
          <w:r>
            <w:rPr>
              <w:b/>
            </w:rPr>
            <w:tab/>
          </w:r>
          <w:r>
            <w:rPr>
              <w:b/>
            </w:rPr>
            <w:fldChar w:fldCharType="begin"/>
          </w:r>
          <w:r>
            <w:rPr>
              <w:b/>
            </w:rPr>
            <w:instrText xml:space="preserve"> PAGEREF _Toc11364 \h </w:instrText>
          </w:r>
          <w:r>
            <w:rPr>
              <w:b/>
            </w:rPr>
            <w:fldChar w:fldCharType="separate"/>
          </w:r>
          <w:r>
            <w:rPr>
              <w:b/>
            </w:rPr>
            <w:t>3</w:t>
          </w:r>
          <w:r>
            <w:rPr>
              <w:b/>
            </w:rPr>
            <w:fldChar w:fldCharType="end"/>
          </w:r>
          <w:r>
            <w:rPr>
              <w:rFonts w:hint="eastAsia" w:ascii="黑体" w:hAnsi="黑体" w:eastAsia="黑体" w:cs="Times New Roman"/>
              <w:b/>
              <w:bCs/>
              <w:color w:val="auto"/>
              <w:kern w:val="44"/>
              <w:szCs w:val="44"/>
              <w:highlight w:val="none"/>
              <w:lang w:val="en-US" w:eastAsia="zh-CN" w:bidi="ar-SA"/>
            </w:rPr>
            <w:fldChar w:fldCharType="end"/>
          </w:r>
        </w:p>
        <w:p>
          <w:pPr>
            <w:pStyle w:val="32"/>
            <w:tabs>
              <w:tab w:val="right" w:leader="dot" w:pos="8845"/>
            </w:tabs>
          </w:pPr>
          <w:r>
            <w:rPr>
              <w:rFonts w:hint="eastAsia" w:ascii="黑体" w:hAnsi="黑体" w:eastAsia="黑体" w:cs="Times New Roman"/>
              <w:bCs/>
              <w:color w:val="auto"/>
              <w:kern w:val="44"/>
              <w:szCs w:val="44"/>
              <w:highlight w:val="none"/>
              <w:lang w:val="en-US" w:eastAsia="zh-CN" w:bidi="ar-SA"/>
            </w:rPr>
            <w:fldChar w:fldCharType="begin"/>
          </w:r>
          <w:r>
            <w:rPr>
              <w:rFonts w:hint="eastAsia" w:ascii="黑体" w:hAnsi="黑体" w:eastAsia="黑体" w:cs="Times New Roman"/>
              <w:bCs/>
              <w:kern w:val="44"/>
              <w:szCs w:val="44"/>
              <w:highlight w:val="none"/>
              <w:lang w:val="en-US" w:eastAsia="zh-CN" w:bidi="ar-SA"/>
            </w:rPr>
            <w:instrText xml:space="preserve"> HYPERLINK \l _Toc29707 </w:instrText>
          </w:r>
          <w:r>
            <w:rPr>
              <w:rFonts w:hint="eastAsia" w:ascii="黑体" w:hAnsi="黑体" w:eastAsia="黑体" w:cs="Times New Roman"/>
              <w:bCs/>
              <w:kern w:val="44"/>
              <w:szCs w:val="44"/>
              <w:highlight w:val="none"/>
              <w:lang w:val="en-US" w:eastAsia="zh-CN" w:bidi="ar-SA"/>
            </w:rPr>
            <w:fldChar w:fldCharType="separate"/>
          </w:r>
          <w:r>
            <w:rPr>
              <w:rFonts w:hint="default" w:ascii="黑体" w:hAnsi="黑体" w:eastAsia="黑体"/>
            </w:rPr>
            <w:t xml:space="preserve">一、 </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_Toc29707 \h </w:instrText>
          </w:r>
          <w:r>
            <w:fldChar w:fldCharType="separate"/>
          </w:r>
          <w:r>
            <w:t>3</w:t>
          </w:r>
          <w:r>
            <w:fldChar w:fldCharType="end"/>
          </w:r>
          <w:r>
            <w:rPr>
              <w:rFonts w:hint="eastAsia" w:ascii="黑体" w:hAnsi="黑体" w:eastAsia="黑体" w:cs="Times New Roman"/>
              <w:bCs/>
              <w:color w:val="auto"/>
              <w:kern w:val="44"/>
              <w:szCs w:val="44"/>
              <w:highlight w:val="none"/>
              <w:lang w:val="en-US" w:eastAsia="zh-CN" w:bidi="ar-SA"/>
            </w:rPr>
            <w:fldChar w:fldCharType="end"/>
          </w:r>
        </w:p>
        <w:p>
          <w:pPr>
            <w:pStyle w:val="32"/>
            <w:tabs>
              <w:tab w:val="right" w:leader="dot" w:pos="8845"/>
            </w:tabs>
          </w:pPr>
          <w:r>
            <w:rPr>
              <w:rFonts w:hint="eastAsia" w:ascii="黑体" w:hAnsi="黑体" w:eastAsia="黑体" w:cs="Times New Roman"/>
              <w:bCs/>
              <w:color w:val="auto"/>
              <w:kern w:val="44"/>
              <w:szCs w:val="44"/>
              <w:highlight w:val="none"/>
              <w:lang w:val="en-US" w:eastAsia="zh-CN" w:bidi="ar-SA"/>
            </w:rPr>
            <w:fldChar w:fldCharType="begin"/>
          </w:r>
          <w:r>
            <w:rPr>
              <w:rFonts w:hint="eastAsia" w:ascii="黑体" w:hAnsi="黑体" w:eastAsia="黑体" w:cs="Times New Roman"/>
              <w:bCs/>
              <w:kern w:val="44"/>
              <w:szCs w:val="44"/>
              <w:highlight w:val="none"/>
              <w:lang w:val="en-US" w:eastAsia="zh-CN" w:bidi="ar-SA"/>
            </w:rPr>
            <w:instrText xml:space="preserve"> HYPERLINK \l _Toc670 </w:instrText>
          </w:r>
          <w:r>
            <w:rPr>
              <w:rFonts w:hint="eastAsia" w:ascii="黑体" w:hAnsi="黑体" w:eastAsia="黑体" w:cs="Times New Roman"/>
              <w:bCs/>
              <w:kern w:val="44"/>
              <w:szCs w:val="44"/>
              <w:highlight w:val="none"/>
              <w:lang w:val="en-US" w:eastAsia="zh-CN" w:bidi="ar-SA"/>
            </w:rPr>
            <w:fldChar w:fldCharType="separate"/>
          </w:r>
          <w:r>
            <w:rPr>
              <w:rFonts w:hint="default" w:ascii="黑体" w:hAnsi="黑体" w:eastAsia="黑体"/>
            </w:rPr>
            <w:t xml:space="preserve">二、 </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_Toc670 \h </w:instrText>
          </w:r>
          <w:r>
            <w:fldChar w:fldCharType="separate"/>
          </w:r>
          <w:r>
            <w:t>3</w:t>
          </w:r>
          <w:r>
            <w:fldChar w:fldCharType="end"/>
          </w:r>
          <w:r>
            <w:rPr>
              <w:rFonts w:hint="eastAsia" w:ascii="黑体" w:hAnsi="黑体" w:eastAsia="黑体" w:cs="Times New Roman"/>
              <w:bCs/>
              <w:color w:val="auto"/>
              <w:kern w:val="44"/>
              <w:szCs w:val="44"/>
              <w:highlight w:val="none"/>
              <w:lang w:val="en-US" w:eastAsia="zh-CN" w:bidi="ar-SA"/>
            </w:rPr>
            <w:fldChar w:fldCharType="end"/>
          </w:r>
        </w:p>
        <w:p>
          <w:pPr>
            <w:pStyle w:val="32"/>
            <w:tabs>
              <w:tab w:val="right" w:leader="dot" w:pos="8845"/>
            </w:tabs>
          </w:pPr>
          <w:r>
            <w:rPr>
              <w:rFonts w:hint="eastAsia" w:ascii="黑体" w:hAnsi="黑体" w:eastAsia="黑体" w:cs="Times New Roman"/>
              <w:bCs/>
              <w:color w:val="auto"/>
              <w:kern w:val="44"/>
              <w:szCs w:val="44"/>
              <w:highlight w:val="none"/>
              <w:lang w:val="en-US" w:eastAsia="zh-CN" w:bidi="ar-SA"/>
            </w:rPr>
            <w:fldChar w:fldCharType="begin"/>
          </w:r>
          <w:r>
            <w:rPr>
              <w:rFonts w:hint="eastAsia" w:ascii="黑体" w:hAnsi="黑体" w:eastAsia="黑体" w:cs="Times New Roman"/>
              <w:bCs/>
              <w:kern w:val="44"/>
              <w:szCs w:val="44"/>
              <w:highlight w:val="none"/>
              <w:lang w:val="en-US" w:eastAsia="zh-CN" w:bidi="ar-SA"/>
            </w:rPr>
            <w:instrText xml:space="preserve"> HYPERLINK \l _Toc10107 </w:instrText>
          </w:r>
          <w:r>
            <w:rPr>
              <w:rFonts w:hint="eastAsia" w:ascii="黑体" w:hAnsi="黑体" w:eastAsia="黑体" w:cs="Times New Roman"/>
              <w:bCs/>
              <w:kern w:val="44"/>
              <w:szCs w:val="44"/>
              <w:highlight w:val="none"/>
              <w:lang w:val="en-US" w:eastAsia="zh-CN" w:bidi="ar-SA"/>
            </w:rPr>
            <w:fldChar w:fldCharType="separate"/>
          </w:r>
          <w:r>
            <w:rPr>
              <w:rFonts w:hint="eastAsia" w:ascii="黑体" w:hAnsi="黑体" w:eastAsia="黑体"/>
              <w:szCs w:val="32"/>
              <w:highlight w:val="none"/>
              <w:lang w:eastAsia="zh-CN"/>
            </w:rPr>
            <w:t>三、</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_Toc10107 \h </w:instrText>
          </w:r>
          <w:r>
            <w:fldChar w:fldCharType="separate"/>
          </w:r>
          <w:r>
            <w:t>4</w:t>
          </w:r>
          <w:r>
            <w:fldChar w:fldCharType="end"/>
          </w:r>
          <w:r>
            <w:rPr>
              <w:rFonts w:hint="eastAsia" w:ascii="黑体" w:hAnsi="黑体" w:eastAsia="黑体" w:cs="Times New Roman"/>
              <w:bCs/>
              <w:color w:val="auto"/>
              <w:kern w:val="44"/>
              <w:szCs w:val="44"/>
              <w:highlight w:val="none"/>
              <w:lang w:val="en-US" w:eastAsia="zh-CN" w:bidi="ar-SA"/>
            </w:rPr>
            <w:fldChar w:fldCharType="end"/>
          </w:r>
        </w:p>
        <w:p>
          <w:pPr>
            <w:pStyle w:val="32"/>
            <w:tabs>
              <w:tab w:val="right" w:leader="dot" w:pos="8845"/>
            </w:tabs>
          </w:pPr>
          <w:r>
            <w:rPr>
              <w:rFonts w:hint="eastAsia" w:ascii="黑体" w:hAnsi="黑体" w:eastAsia="黑体" w:cs="Times New Roman"/>
              <w:bCs/>
              <w:color w:val="auto"/>
              <w:kern w:val="44"/>
              <w:szCs w:val="44"/>
              <w:highlight w:val="none"/>
              <w:lang w:val="en-US" w:eastAsia="zh-CN" w:bidi="ar-SA"/>
            </w:rPr>
            <w:fldChar w:fldCharType="begin"/>
          </w:r>
          <w:r>
            <w:rPr>
              <w:rFonts w:hint="eastAsia" w:ascii="黑体" w:hAnsi="黑体" w:eastAsia="黑体" w:cs="Times New Roman"/>
              <w:bCs/>
              <w:kern w:val="44"/>
              <w:szCs w:val="44"/>
              <w:highlight w:val="none"/>
              <w:lang w:val="en-US" w:eastAsia="zh-CN" w:bidi="ar-SA"/>
            </w:rPr>
            <w:instrText xml:space="preserve"> HYPERLINK \l _Toc25960 </w:instrText>
          </w:r>
          <w:r>
            <w:rPr>
              <w:rFonts w:hint="eastAsia" w:ascii="黑体" w:hAnsi="黑体" w:eastAsia="黑体" w:cs="Times New Roman"/>
              <w:bCs/>
              <w:kern w:val="44"/>
              <w:szCs w:val="44"/>
              <w:highlight w:val="none"/>
              <w:lang w:val="en-US" w:eastAsia="zh-CN" w:bidi="ar-SA"/>
            </w:rP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_Toc25960 \h </w:instrText>
          </w:r>
          <w:r>
            <w:fldChar w:fldCharType="separate"/>
          </w:r>
          <w:r>
            <w:t>4</w:t>
          </w:r>
          <w:r>
            <w:fldChar w:fldCharType="end"/>
          </w:r>
          <w:r>
            <w:rPr>
              <w:rFonts w:hint="eastAsia" w:ascii="黑体" w:hAnsi="黑体" w:eastAsia="黑体" w:cs="Times New Roman"/>
              <w:bCs/>
              <w:color w:val="auto"/>
              <w:kern w:val="44"/>
              <w:szCs w:val="44"/>
              <w:highlight w:val="none"/>
              <w:lang w:val="en-US" w:eastAsia="zh-CN" w:bidi="ar-SA"/>
            </w:rPr>
            <w:fldChar w:fldCharType="end"/>
          </w:r>
        </w:p>
        <w:p>
          <w:pPr>
            <w:pStyle w:val="32"/>
            <w:tabs>
              <w:tab w:val="right" w:leader="dot" w:pos="8845"/>
            </w:tabs>
          </w:pPr>
          <w:r>
            <w:rPr>
              <w:rFonts w:hint="eastAsia" w:ascii="黑体" w:hAnsi="黑体" w:eastAsia="黑体" w:cs="Times New Roman"/>
              <w:bCs/>
              <w:color w:val="auto"/>
              <w:kern w:val="44"/>
              <w:szCs w:val="44"/>
              <w:highlight w:val="none"/>
              <w:lang w:val="en-US" w:eastAsia="zh-CN" w:bidi="ar-SA"/>
            </w:rPr>
            <w:fldChar w:fldCharType="begin"/>
          </w:r>
          <w:r>
            <w:rPr>
              <w:rFonts w:hint="eastAsia" w:ascii="黑体" w:hAnsi="黑体" w:eastAsia="黑体" w:cs="Times New Roman"/>
              <w:bCs/>
              <w:kern w:val="44"/>
              <w:szCs w:val="44"/>
              <w:highlight w:val="none"/>
              <w:lang w:val="en-US" w:eastAsia="zh-CN" w:bidi="ar-SA"/>
            </w:rPr>
            <w:instrText xml:space="preserve"> HYPERLINK \l _Toc14858 </w:instrText>
          </w:r>
          <w:r>
            <w:rPr>
              <w:rFonts w:hint="eastAsia" w:ascii="黑体" w:hAnsi="黑体" w:eastAsia="黑体" w:cs="Times New Roman"/>
              <w:bCs/>
              <w:kern w:val="44"/>
              <w:szCs w:val="44"/>
              <w:highlight w:val="none"/>
              <w:lang w:val="en-US" w:eastAsia="zh-CN" w:bidi="ar-SA"/>
            </w:rP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_Toc14858 \h </w:instrText>
          </w:r>
          <w:r>
            <w:fldChar w:fldCharType="separate"/>
          </w:r>
          <w:r>
            <w:t>5</w:t>
          </w:r>
          <w:r>
            <w:fldChar w:fldCharType="end"/>
          </w:r>
          <w:r>
            <w:rPr>
              <w:rFonts w:hint="eastAsia" w:ascii="黑体" w:hAnsi="黑体" w:eastAsia="黑体" w:cs="Times New Roman"/>
              <w:bCs/>
              <w:color w:val="auto"/>
              <w:kern w:val="44"/>
              <w:szCs w:val="44"/>
              <w:highlight w:val="none"/>
              <w:lang w:val="en-US" w:eastAsia="zh-CN" w:bidi="ar-SA"/>
            </w:rPr>
            <w:fldChar w:fldCharType="end"/>
          </w:r>
        </w:p>
        <w:p>
          <w:pPr>
            <w:pStyle w:val="32"/>
            <w:tabs>
              <w:tab w:val="right" w:leader="dot" w:pos="8845"/>
            </w:tabs>
          </w:pPr>
          <w:r>
            <w:rPr>
              <w:rFonts w:hint="eastAsia" w:ascii="黑体" w:hAnsi="黑体" w:eastAsia="黑体" w:cs="Times New Roman"/>
              <w:bCs/>
              <w:color w:val="auto"/>
              <w:kern w:val="44"/>
              <w:szCs w:val="44"/>
              <w:highlight w:val="none"/>
              <w:lang w:val="en-US" w:eastAsia="zh-CN" w:bidi="ar-SA"/>
            </w:rPr>
            <w:fldChar w:fldCharType="begin"/>
          </w:r>
          <w:r>
            <w:rPr>
              <w:rFonts w:hint="eastAsia" w:ascii="黑体" w:hAnsi="黑体" w:eastAsia="黑体" w:cs="Times New Roman"/>
              <w:bCs/>
              <w:kern w:val="44"/>
              <w:szCs w:val="44"/>
              <w:highlight w:val="none"/>
              <w:lang w:val="en-US" w:eastAsia="zh-CN" w:bidi="ar-SA"/>
            </w:rPr>
            <w:instrText xml:space="preserve"> HYPERLINK \l _Toc22971 </w:instrText>
          </w:r>
          <w:r>
            <w:rPr>
              <w:rFonts w:hint="eastAsia" w:ascii="黑体" w:hAnsi="黑体" w:eastAsia="黑体" w:cs="Times New Roman"/>
              <w:bCs/>
              <w:kern w:val="44"/>
              <w:szCs w:val="44"/>
              <w:highlight w:val="none"/>
              <w:lang w:val="en-US" w:eastAsia="zh-CN" w:bidi="ar-SA"/>
            </w:rP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_Toc22971 \h </w:instrText>
          </w:r>
          <w:r>
            <w:fldChar w:fldCharType="separate"/>
          </w:r>
          <w:r>
            <w:t>8</w:t>
          </w:r>
          <w:r>
            <w:fldChar w:fldCharType="end"/>
          </w:r>
          <w:r>
            <w:rPr>
              <w:rFonts w:hint="eastAsia" w:ascii="黑体" w:hAnsi="黑体" w:eastAsia="黑体" w:cs="Times New Roman"/>
              <w:bCs/>
              <w:color w:val="auto"/>
              <w:kern w:val="44"/>
              <w:szCs w:val="44"/>
              <w:highlight w:val="none"/>
              <w:lang w:val="en-US" w:eastAsia="zh-CN" w:bidi="ar-SA"/>
            </w:rPr>
            <w:fldChar w:fldCharType="end"/>
          </w:r>
        </w:p>
        <w:p>
          <w:pPr>
            <w:pStyle w:val="32"/>
            <w:tabs>
              <w:tab w:val="right" w:leader="dot" w:pos="8845"/>
            </w:tabs>
          </w:pPr>
          <w:r>
            <w:rPr>
              <w:rFonts w:hint="eastAsia" w:ascii="黑体" w:hAnsi="黑体" w:eastAsia="黑体" w:cs="Times New Roman"/>
              <w:bCs/>
              <w:color w:val="auto"/>
              <w:kern w:val="44"/>
              <w:szCs w:val="44"/>
              <w:highlight w:val="none"/>
              <w:lang w:val="en-US" w:eastAsia="zh-CN" w:bidi="ar-SA"/>
            </w:rPr>
            <w:fldChar w:fldCharType="begin"/>
          </w:r>
          <w:r>
            <w:rPr>
              <w:rFonts w:hint="eastAsia" w:ascii="黑体" w:hAnsi="黑体" w:eastAsia="黑体" w:cs="Times New Roman"/>
              <w:bCs/>
              <w:kern w:val="44"/>
              <w:szCs w:val="44"/>
              <w:highlight w:val="none"/>
              <w:lang w:val="en-US" w:eastAsia="zh-CN" w:bidi="ar-SA"/>
            </w:rPr>
            <w:instrText xml:space="preserve"> HYPERLINK \l _Toc11507 </w:instrText>
          </w:r>
          <w:r>
            <w:rPr>
              <w:rFonts w:hint="eastAsia" w:ascii="黑体" w:hAnsi="黑体" w:eastAsia="黑体" w:cs="Times New Roman"/>
              <w:bCs/>
              <w:kern w:val="44"/>
              <w:szCs w:val="44"/>
              <w:highlight w:val="none"/>
              <w:lang w:val="en-US" w:eastAsia="zh-CN" w:bidi="ar-SA"/>
            </w:rPr>
            <w:fldChar w:fldCharType="separate"/>
          </w:r>
          <w:r>
            <w:rPr>
              <w:rFonts w:hint="eastAsia" w:ascii="黑体" w:eastAsia="黑体"/>
              <w:szCs w:val="32"/>
              <w:highlight w:val="none"/>
            </w:rPr>
            <w:t>七、</w:t>
          </w:r>
          <w:r>
            <w:rPr>
              <w:rFonts w:hint="eastAsia" w:ascii="黑体" w:hAnsi="黑体" w:eastAsia="黑体"/>
              <w:highlight w:val="none"/>
            </w:rPr>
            <w:t>财政拨款“三公”经费支出决算情况说明</w:t>
          </w:r>
          <w:r>
            <w:tab/>
          </w:r>
          <w:r>
            <w:fldChar w:fldCharType="begin"/>
          </w:r>
          <w:r>
            <w:instrText xml:space="preserve"> PAGEREF _Toc11507 \h </w:instrText>
          </w:r>
          <w:r>
            <w:fldChar w:fldCharType="separate"/>
          </w:r>
          <w:r>
            <w:t>8</w:t>
          </w:r>
          <w:r>
            <w:fldChar w:fldCharType="end"/>
          </w:r>
          <w:r>
            <w:rPr>
              <w:rFonts w:hint="eastAsia" w:ascii="黑体" w:hAnsi="黑体" w:eastAsia="黑体" w:cs="Times New Roman"/>
              <w:bCs/>
              <w:color w:val="auto"/>
              <w:kern w:val="44"/>
              <w:szCs w:val="44"/>
              <w:highlight w:val="none"/>
              <w:lang w:val="en-US" w:eastAsia="zh-CN" w:bidi="ar-SA"/>
            </w:rPr>
            <w:fldChar w:fldCharType="end"/>
          </w:r>
        </w:p>
        <w:p>
          <w:pPr>
            <w:pStyle w:val="32"/>
            <w:tabs>
              <w:tab w:val="right" w:leader="dot" w:pos="8845"/>
            </w:tabs>
          </w:pPr>
          <w:r>
            <w:rPr>
              <w:rFonts w:hint="eastAsia" w:ascii="黑体" w:hAnsi="黑体" w:eastAsia="黑体" w:cs="Times New Roman"/>
              <w:bCs/>
              <w:color w:val="auto"/>
              <w:kern w:val="44"/>
              <w:szCs w:val="44"/>
              <w:highlight w:val="none"/>
              <w:lang w:val="en-US" w:eastAsia="zh-CN" w:bidi="ar-SA"/>
            </w:rPr>
            <w:fldChar w:fldCharType="begin"/>
          </w:r>
          <w:r>
            <w:rPr>
              <w:rFonts w:hint="eastAsia" w:ascii="黑体" w:hAnsi="黑体" w:eastAsia="黑体" w:cs="Times New Roman"/>
              <w:bCs/>
              <w:kern w:val="44"/>
              <w:szCs w:val="44"/>
              <w:highlight w:val="none"/>
              <w:lang w:val="en-US" w:eastAsia="zh-CN" w:bidi="ar-SA"/>
            </w:rPr>
            <w:instrText xml:space="preserve"> HYPERLINK \l _Toc10324 </w:instrText>
          </w:r>
          <w:r>
            <w:rPr>
              <w:rFonts w:hint="eastAsia" w:ascii="黑体" w:hAnsi="黑体" w:eastAsia="黑体" w:cs="Times New Roman"/>
              <w:bCs/>
              <w:kern w:val="44"/>
              <w:szCs w:val="44"/>
              <w:highlight w:val="none"/>
              <w:lang w:val="en-US" w:eastAsia="zh-CN" w:bidi="ar-SA"/>
            </w:rP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_Toc10324 \h </w:instrText>
          </w:r>
          <w:r>
            <w:fldChar w:fldCharType="separate"/>
          </w:r>
          <w:r>
            <w:t>10</w:t>
          </w:r>
          <w:r>
            <w:fldChar w:fldCharType="end"/>
          </w:r>
          <w:r>
            <w:rPr>
              <w:rFonts w:hint="eastAsia" w:ascii="黑体" w:hAnsi="黑体" w:eastAsia="黑体" w:cs="Times New Roman"/>
              <w:bCs/>
              <w:color w:val="auto"/>
              <w:kern w:val="44"/>
              <w:szCs w:val="44"/>
              <w:highlight w:val="none"/>
              <w:lang w:val="en-US" w:eastAsia="zh-CN" w:bidi="ar-SA"/>
            </w:rPr>
            <w:fldChar w:fldCharType="end"/>
          </w:r>
        </w:p>
        <w:p>
          <w:pPr>
            <w:pStyle w:val="32"/>
            <w:tabs>
              <w:tab w:val="right" w:leader="dot" w:pos="8845"/>
            </w:tabs>
          </w:pPr>
          <w:r>
            <w:rPr>
              <w:rFonts w:hint="eastAsia" w:ascii="黑体" w:hAnsi="黑体" w:eastAsia="黑体" w:cs="Times New Roman"/>
              <w:bCs/>
              <w:color w:val="auto"/>
              <w:kern w:val="44"/>
              <w:szCs w:val="44"/>
              <w:highlight w:val="none"/>
              <w:lang w:val="en-US" w:eastAsia="zh-CN" w:bidi="ar-SA"/>
            </w:rPr>
            <w:fldChar w:fldCharType="begin"/>
          </w:r>
          <w:r>
            <w:rPr>
              <w:rFonts w:hint="eastAsia" w:ascii="黑体" w:hAnsi="黑体" w:eastAsia="黑体" w:cs="Times New Roman"/>
              <w:bCs/>
              <w:kern w:val="44"/>
              <w:szCs w:val="44"/>
              <w:highlight w:val="none"/>
              <w:lang w:val="en-US" w:eastAsia="zh-CN" w:bidi="ar-SA"/>
            </w:rPr>
            <w:instrText xml:space="preserve"> HYPERLINK \l _Toc1793 </w:instrText>
          </w:r>
          <w:r>
            <w:rPr>
              <w:rFonts w:hint="eastAsia" w:ascii="黑体" w:hAnsi="黑体" w:eastAsia="黑体" w:cs="Times New Roman"/>
              <w:bCs/>
              <w:kern w:val="44"/>
              <w:szCs w:val="44"/>
              <w:highlight w:val="none"/>
              <w:lang w:val="en-US" w:eastAsia="zh-CN" w:bidi="ar-SA"/>
            </w:rPr>
            <w:fldChar w:fldCharType="separate"/>
          </w:r>
          <w:r>
            <w:rPr>
              <w:rFonts w:hint="eastAsia" w:ascii="黑体" w:hAnsi="黑体" w:eastAsia="黑体"/>
            </w:rPr>
            <w:t xml:space="preserve">九、 </w:t>
          </w:r>
          <w:r>
            <w:rPr>
              <w:rFonts w:hint="eastAsia" w:ascii="黑体" w:hAnsi="黑体" w:eastAsia="黑体"/>
              <w:highlight w:val="none"/>
            </w:rPr>
            <w:t>国有资本经营预算支出决算情况说明</w:t>
          </w:r>
          <w:r>
            <w:tab/>
          </w:r>
          <w:r>
            <w:fldChar w:fldCharType="begin"/>
          </w:r>
          <w:r>
            <w:instrText xml:space="preserve"> PAGEREF _Toc1793 \h </w:instrText>
          </w:r>
          <w:r>
            <w:fldChar w:fldCharType="separate"/>
          </w:r>
          <w:r>
            <w:t>10</w:t>
          </w:r>
          <w:r>
            <w:fldChar w:fldCharType="end"/>
          </w:r>
          <w:r>
            <w:rPr>
              <w:rFonts w:hint="eastAsia" w:ascii="黑体" w:hAnsi="黑体" w:eastAsia="黑体" w:cs="Times New Roman"/>
              <w:bCs/>
              <w:color w:val="auto"/>
              <w:kern w:val="44"/>
              <w:szCs w:val="44"/>
              <w:highlight w:val="none"/>
              <w:lang w:val="en-US" w:eastAsia="zh-CN" w:bidi="ar-SA"/>
            </w:rPr>
            <w:fldChar w:fldCharType="end"/>
          </w:r>
        </w:p>
        <w:p>
          <w:pPr>
            <w:pStyle w:val="32"/>
            <w:tabs>
              <w:tab w:val="right" w:leader="dot" w:pos="8845"/>
            </w:tabs>
          </w:pPr>
          <w:r>
            <w:rPr>
              <w:rFonts w:hint="eastAsia" w:ascii="黑体" w:hAnsi="黑体" w:eastAsia="黑体" w:cs="Times New Roman"/>
              <w:bCs/>
              <w:color w:val="auto"/>
              <w:kern w:val="44"/>
              <w:szCs w:val="44"/>
              <w:highlight w:val="none"/>
              <w:lang w:val="en-US" w:eastAsia="zh-CN" w:bidi="ar-SA"/>
            </w:rPr>
            <w:fldChar w:fldCharType="begin"/>
          </w:r>
          <w:r>
            <w:rPr>
              <w:rFonts w:hint="eastAsia" w:ascii="黑体" w:hAnsi="黑体" w:eastAsia="黑体" w:cs="Times New Roman"/>
              <w:bCs/>
              <w:kern w:val="44"/>
              <w:szCs w:val="44"/>
              <w:highlight w:val="none"/>
              <w:lang w:val="en-US" w:eastAsia="zh-CN" w:bidi="ar-SA"/>
            </w:rPr>
            <w:instrText xml:space="preserve"> HYPERLINK \l _Toc10431 </w:instrText>
          </w:r>
          <w:r>
            <w:rPr>
              <w:rFonts w:hint="eastAsia" w:ascii="黑体" w:hAnsi="黑体" w:eastAsia="黑体" w:cs="Times New Roman"/>
              <w:bCs/>
              <w:kern w:val="44"/>
              <w:szCs w:val="44"/>
              <w:highlight w:val="none"/>
              <w:lang w:val="en-US" w:eastAsia="zh-CN" w:bidi="ar-SA"/>
            </w:rPr>
            <w:fldChar w:fldCharType="separate"/>
          </w:r>
          <w:r>
            <w:rPr>
              <w:rFonts w:hint="eastAsia" w:ascii="黑体" w:hAnsi="黑体" w:eastAsia="黑体"/>
            </w:rPr>
            <w:t xml:space="preserve">十、 </w:t>
          </w:r>
          <w:r>
            <w:rPr>
              <w:rFonts w:hint="eastAsia" w:ascii="黑体" w:hAnsi="黑体" w:eastAsia="黑体"/>
              <w:highlight w:val="none"/>
            </w:rPr>
            <w:t>其他重要事项的情况说明</w:t>
          </w:r>
          <w:r>
            <w:tab/>
          </w:r>
          <w:r>
            <w:fldChar w:fldCharType="begin"/>
          </w:r>
          <w:r>
            <w:instrText xml:space="preserve"> PAGEREF _Toc10431 \h </w:instrText>
          </w:r>
          <w:r>
            <w:fldChar w:fldCharType="separate"/>
          </w:r>
          <w:r>
            <w:t>11</w:t>
          </w:r>
          <w:r>
            <w:fldChar w:fldCharType="end"/>
          </w:r>
          <w:r>
            <w:rPr>
              <w:rFonts w:hint="eastAsia" w:ascii="黑体" w:hAnsi="黑体" w:eastAsia="黑体" w:cs="Times New Roman"/>
              <w:bCs/>
              <w:color w:val="auto"/>
              <w:kern w:val="44"/>
              <w:szCs w:val="44"/>
              <w:highlight w:val="none"/>
              <w:lang w:val="en-US" w:eastAsia="zh-CN" w:bidi="ar-SA"/>
            </w:rPr>
            <w:fldChar w:fldCharType="end"/>
          </w:r>
        </w:p>
        <w:p>
          <w:pPr>
            <w:pStyle w:val="33"/>
            <w:tabs>
              <w:tab w:val="right" w:leader="dot" w:pos="8845"/>
            </w:tabs>
            <w:rPr>
              <w:b/>
            </w:rPr>
          </w:pPr>
          <w:r>
            <w:rPr>
              <w:rFonts w:hint="eastAsia" w:ascii="黑体" w:hAnsi="黑体" w:eastAsia="黑体" w:cs="Times New Roman"/>
              <w:b/>
              <w:bCs/>
              <w:color w:val="auto"/>
              <w:kern w:val="44"/>
              <w:szCs w:val="44"/>
              <w:highlight w:val="none"/>
              <w:lang w:val="en-US" w:eastAsia="zh-CN" w:bidi="ar-SA"/>
            </w:rPr>
            <w:fldChar w:fldCharType="begin"/>
          </w:r>
          <w:r>
            <w:rPr>
              <w:rFonts w:hint="eastAsia" w:ascii="黑体" w:hAnsi="黑体" w:eastAsia="黑体" w:cs="Times New Roman"/>
              <w:b/>
              <w:bCs/>
              <w:kern w:val="44"/>
              <w:szCs w:val="44"/>
              <w:highlight w:val="none"/>
              <w:lang w:val="en-US" w:eastAsia="zh-CN" w:bidi="ar-SA"/>
            </w:rPr>
            <w:instrText xml:space="preserve"> HYPERLINK \l _Toc14758 </w:instrText>
          </w:r>
          <w:r>
            <w:rPr>
              <w:rFonts w:hint="eastAsia" w:ascii="黑体" w:hAnsi="黑体" w:eastAsia="黑体" w:cs="Times New Roman"/>
              <w:b/>
              <w:bCs/>
              <w:kern w:val="44"/>
              <w:szCs w:val="44"/>
              <w:highlight w:val="none"/>
              <w:lang w:val="en-US" w:eastAsia="zh-CN" w:bidi="ar-SA"/>
            </w:rPr>
            <w:fldChar w:fldCharType="separate"/>
          </w:r>
          <w:r>
            <w:rPr>
              <w:rFonts w:hint="eastAsia" w:ascii="黑体" w:hAnsi="黑体" w:eastAsia="黑体" w:cs="黑体"/>
              <w:b/>
              <w:szCs w:val="44"/>
            </w:rPr>
            <w:t xml:space="preserve">第三部分 </w:t>
          </w:r>
          <w:r>
            <w:rPr>
              <w:rFonts w:hint="eastAsia" w:ascii="黑体" w:hAnsi="黑体" w:eastAsia="黑体"/>
              <w:b/>
              <w:szCs w:val="44"/>
              <w:highlight w:val="none"/>
            </w:rPr>
            <w:t>名</w:t>
          </w:r>
          <w:r>
            <w:rPr>
              <w:rFonts w:hint="eastAsia" w:ascii="黑体" w:hAnsi="黑体" w:eastAsia="黑体"/>
              <w:b/>
              <w:highlight w:val="none"/>
            </w:rPr>
            <w:t>词解释</w:t>
          </w:r>
          <w:r>
            <w:rPr>
              <w:b/>
            </w:rPr>
            <w:tab/>
          </w:r>
          <w:r>
            <w:rPr>
              <w:b/>
            </w:rPr>
            <w:fldChar w:fldCharType="begin"/>
          </w:r>
          <w:r>
            <w:rPr>
              <w:b/>
            </w:rPr>
            <w:instrText xml:space="preserve"> PAGEREF _Toc14758 \h </w:instrText>
          </w:r>
          <w:r>
            <w:rPr>
              <w:b/>
            </w:rPr>
            <w:fldChar w:fldCharType="separate"/>
          </w:r>
          <w:r>
            <w:rPr>
              <w:b/>
            </w:rPr>
            <w:t>13</w:t>
          </w:r>
          <w:r>
            <w:rPr>
              <w:b/>
            </w:rPr>
            <w:fldChar w:fldCharType="end"/>
          </w:r>
          <w:r>
            <w:rPr>
              <w:rFonts w:hint="eastAsia" w:ascii="黑体" w:hAnsi="黑体" w:eastAsia="黑体" w:cs="Times New Roman"/>
              <w:b/>
              <w:bCs/>
              <w:color w:val="auto"/>
              <w:kern w:val="44"/>
              <w:szCs w:val="44"/>
              <w:highlight w:val="none"/>
              <w:lang w:val="en-US" w:eastAsia="zh-CN" w:bidi="ar-SA"/>
            </w:rPr>
            <w:fldChar w:fldCharType="end"/>
          </w:r>
        </w:p>
        <w:p>
          <w:pPr>
            <w:pStyle w:val="33"/>
            <w:tabs>
              <w:tab w:val="right" w:leader="dot" w:pos="8845"/>
            </w:tabs>
            <w:rPr>
              <w:rFonts w:hint="default"/>
              <w:b/>
              <w:lang w:val="en-US"/>
            </w:rPr>
          </w:pPr>
          <w:r>
            <w:rPr>
              <w:rFonts w:hint="eastAsia" w:ascii="黑体" w:hAnsi="黑体" w:eastAsia="黑体" w:cs="Times New Roman"/>
              <w:b/>
              <w:bCs/>
              <w:color w:val="auto"/>
              <w:kern w:val="44"/>
              <w:szCs w:val="44"/>
              <w:highlight w:val="none"/>
              <w:lang w:val="en-US" w:eastAsia="zh-CN" w:bidi="ar-SA"/>
            </w:rPr>
            <w:fldChar w:fldCharType="begin"/>
          </w:r>
          <w:r>
            <w:rPr>
              <w:rFonts w:hint="eastAsia" w:ascii="黑体" w:hAnsi="黑体" w:eastAsia="黑体" w:cs="Times New Roman"/>
              <w:b/>
              <w:bCs/>
              <w:kern w:val="44"/>
              <w:szCs w:val="44"/>
              <w:highlight w:val="none"/>
              <w:lang w:val="en-US" w:eastAsia="zh-CN" w:bidi="ar-SA"/>
            </w:rPr>
            <w:instrText xml:space="preserve"> HYPERLINK \l _Toc15739 </w:instrText>
          </w:r>
          <w:r>
            <w:rPr>
              <w:rFonts w:hint="eastAsia" w:ascii="黑体" w:hAnsi="黑体" w:eastAsia="黑体" w:cs="Times New Roman"/>
              <w:b/>
              <w:bCs/>
              <w:kern w:val="44"/>
              <w:szCs w:val="44"/>
              <w:highlight w:val="none"/>
              <w:lang w:val="en-US" w:eastAsia="zh-CN" w:bidi="ar-SA"/>
            </w:rPr>
            <w:fldChar w:fldCharType="separate"/>
          </w:r>
          <w:r>
            <w:rPr>
              <w:rFonts w:hint="eastAsia" w:ascii="黑体" w:hAnsi="黑体" w:eastAsia="黑体"/>
              <w:b/>
              <w:szCs w:val="44"/>
              <w:highlight w:val="none"/>
            </w:rPr>
            <w:t>第</w:t>
          </w:r>
          <w:r>
            <w:rPr>
              <w:rFonts w:hint="eastAsia" w:ascii="黑体" w:hAnsi="黑体" w:eastAsia="黑体"/>
              <w:b/>
              <w:highlight w:val="none"/>
            </w:rPr>
            <w:t>四部分 附件</w:t>
          </w:r>
          <w:r>
            <w:rPr>
              <w:b/>
            </w:rPr>
            <w:tab/>
          </w:r>
          <w:r>
            <w:rPr>
              <w:rFonts w:hint="eastAsia"/>
              <w:b/>
              <w:lang w:val="en-US" w:eastAsia="zh-CN"/>
            </w:rPr>
            <w:t>1</w:t>
          </w:r>
          <w:r>
            <w:rPr>
              <w:rFonts w:hint="eastAsia" w:ascii="黑体" w:hAnsi="黑体" w:eastAsia="黑体" w:cs="Times New Roman"/>
              <w:b/>
              <w:bCs/>
              <w:color w:val="auto"/>
              <w:kern w:val="44"/>
              <w:szCs w:val="44"/>
              <w:highlight w:val="none"/>
              <w:lang w:val="en-US" w:eastAsia="zh-CN" w:bidi="ar-SA"/>
            </w:rPr>
            <w:fldChar w:fldCharType="end"/>
          </w:r>
          <w:r>
            <w:rPr>
              <w:rFonts w:hint="eastAsia" w:ascii="黑体" w:hAnsi="黑体" w:eastAsia="黑体" w:cs="Times New Roman"/>
              <w:b/>
              <w:bCs/>
              <w:color w:val="auto"/>
              <w:kern w:val="44"/>
              <w:szCs w:val="44"/>
              <w:highlight w:val="none"/>
              <w:lang w:val="en-US" w:eastAsia="zh-CN" w:bidi="ar-SA"/>
            </w:rPr>
            <w:t>6</w:t>
          </w:r>
        </w:p>
        <w:p>
          <w:pPr>
            <w:pStyle w:val="33"/>
            <w:tabs>
              <w:tab w:val="right" w:leader="dot" w:pos="8845"/>
            </w:tabs>
            <w:rPr>
              <w:rFonts w:hint="default"/>
              <w:b/>
              <w:lang w:val="en-US"/>
            </w:rPr>
          </w:pPr>
          <w:r>
            <w:rPr>
              <w:rFonts w:hint="eastAsia" w:ascii="黑体" w:hAnsi="黑体" w:eastAsia="黑体" w:cs="Times New Roman"/>
              <w:b/>
              <w:bCs/>
              <w:color w:val="auto"/>
              <w:kern w:val="44"/>
              <w:szCs w:val="44"/>
              <w:highlight w:val="none"/>
              <w:lang w:val="en-US" w:eastAsia="zh-CN" w:bidi="ar-SA"/>
            </w:rPr>
            <w:fldChar w:fldCharType="begin"/>
          </w:r>
          <w:r>
            <w:rPr>
              <w:rFonts w:hint="eastAsia" w:ascii="黑体" w:hAnsi="黑体" w:eastAsia="黑体" w:cs="Times New Roman"/>
              <w:b/>
              <w:bCs/>
              <w:kern w:val="44"/>
              <w:szCs w:val="44"/>
              <w:highlight w:val="none"/>
              <w:lang w:val="en-US" w:eastAsia="zh-CN" w:bidi="ar-SA"/>
            </w:rPr>
            <w:instrText xml:space="preserve"> HYPERLINK \l _Toc20937 </w:instrText>
          </w:r>
          <w:r>
            <w:rPr>
              <w:rFonts w:hint="eastAsia" w:ascii="黑体" w:hAnsi="黑体" w:eastAsia="黑体" w:cs="Times New Roman"/>
              <w:b/>
              <w:bCs/>
              <w:kern w:val="44"/>
              <w:szCs w:val="44"/>
              <w:highlight w:val="none"/>
              <w:lang w:val="en-US" w:eastAsia="zh-CN" w:bidi="ar-SA"/>
            </w:rPr>
            <w:fldChar w:fldCharType="separate"/>
          </w:r>
          <w:r>
            <w:rPr>
              <w:rFonts w:hint="eastAsia" w:ascii="黑体" w:hAnsi="黑体" w:eastAsia="黑体"/>
              <w:b/>
              <w:szCs w:val="44"/>
              <w:highlight w:val="none"/>
            </w:rPr>
            <w:t>第</w:t>
          </w:r>
          <w:r>
            <w:rPr>
              <w:rFonts w:hint="eastAsia" w:ascii="黑体" w:hAnsi="黑体" w:eastAsia="黑体"/>
              <w:b/>
              <w:highlight w:val="none"/>
            </w:rPr>
            <w:t>五部分 附表</w:t>
          </w:r>
          <w:r>
            <w:rPr>
              <w:b/>
            </w:rPr>
            <w:tab/>
          </w:r>
          <w:r>
            <w:rPr>
              <w:rFonts w:hint="eastAsia"/>
              <w:b/>
              <w:lang w:val="en-US" w:eastAsia="zh-CN"/>
            </w:rPr>
            <w:t>4</w:t>
          </w:r>
          <w:r>
            <w:rPr>
              <w:rFonts w:hint="eastAsia" w:ascii="黑体" w:hAnsi="黑体" w:eastAsia="黑体" w:cs="Times New Roman"/>
              <w:b/>
              <w:bCs/>
              <w:color w:val="auto"/>
              <w:kern w:val="44"/>
              <w:szCs w:val="44"/>
              <w:highlight w:val="none"/>
              <w:lang w:val="en-US" w:eastAsia="zh-CN" w:bidi="ar-SA"/>
            </w:rPr>
            <w:fldChar w:fldCharType="end"/>
          </w:r>
          <w:r>
            <w:rPr>
              <w:rFonts w:hint="eastAsia" w:ascii="黑体" w:hAnsi="黑体" w:eastAsia="黑体" w:cs="Times New Roman"/>
              <w:b/>
              <w:bCs/>
              <w:color w:val="auto"/>
              <w:kern w:val="44"/>
              <w:szCs w:val="44"/>
              <w:highlight w:val="none"/>
              <w:lang w:val="en-US" w:eastAsia="zh-CN" w:bidi="ar-SA"/>
            </w:rPr>
            <w:t>8</w:t>
          </w:r>
        </w:p>
        <w:p>
          <w:pPr>
            <w:pStyle w:val="32"/>
            <w:tabs>
              <w:tab w:val="right" w:leader="dot" w:pos="8845"/>
            </w:tabs>
            <w:rPr>
              <w:rFonts w:hint="default"/>
              <w:lang w:val="en-US"/>
            </w:rPr>
          </w:pPr>
          <w:r>
            <w:rPr>
              <w:rFonts w:hint="eastAsia" w:ascii="黑体" w:hAnsi="黑体" w:eastAsia="黑体" w:cs="Times New Roman"/>
              <w:bCs/>
              <w:color w:val="auto"/>
              <w:kern w:val="44"/>
              <w:szCs w:val="44"/>
              <w:highlight w:val="none"/>
              <w:lang w:val="en-US" w:eastAsia="zh-CN" w:bidi="ar-SA"/>
            </w:rPr>
            <w:fldChar w:fldCharType="begin"/>
          </w:r>
          <w:r>
            <w:rPr>
              <w:rFonts w:hint="eastAsia" w:ascii="黑体" w:hAnsi="黑体" w:eastAsia="黑体" w:cs="Times New Roman"/>
              <w:bCs/>
              <w:kern w:val="44"/>
              <w:szCs w:val="44"/>
              <w:highlight w:val="none"/>
              <w:lang w:val="en-US" w:eastAsia="zh-CN" w:bidi="ar-SA"/>
            </w:rPr>
            <w:instrText xml:space="preserve"> HYPERLINK \l _Toc23615 </w:instrText>
          </w:r>
          <w:r>
            <w:rPr>
              <w:rFonts w:hint="eastAsia" w:ascii="黑体" w:hAnsi="黑体" w:eastAsia="黑体" w:cs="Times New Roman"/>
              <w:bCs/>
              <w:kern w:val="44"/>
              <w:szCs w:val="44"/>
              <w:highlight w:val="none"/>
              <w:lang w:val="en-US" w:eastAsia="zh-CN" w:bidi="ar-SA"/>
            </w:rPr>
            <w:fldChar w:fldCharType="separate"/>
          </w:r>
          <w:r>
            <w:rPr>
              <w:rFonts w:hint="eastAsia" w:ascii="仿宋" w:hAnsi="仿宋" w:eastAsia="仿宋"/>
              <w:highlight w:val="none"/>
            </w:rPr>
            <w:t>一、收</w:t>
          </w:r>
          <w:r>
            <w:rPr>
              <w:rFonts w:hint="eastAsia" w:ascii="仿宋" w:hAnsi="仿宋" w:eastAsia="仿宋"/>
              <w:bCs w:val="0"/>
              <w:highlight w:val="none"/>
            </w:rPr>
            <w:t>入支出决算总表</w:t>
          </w:r>
          <w:r>
            <w:tab/>
          </w:r>
          <w:r>
            <w:rPr>
              <w:rFonts w:hint="eastAsia"/>
              <w:lang w:val="en-US" w:eastAsia="zh-CN"/>
            </w:rPr>
            <w:t>4</w:t>
          </w:r>
          <w:r>
            <w:rPr>
              <w:rFonts w:hint="eastAsia" w:ascii="黑体" w:hAnsi="黑体" w:eastAsia="黑体" w:cs="Times New Roman"/>
              <w:bCs/>
              <w:color w:val="auto"/>
              <w:kern w:val="44"/>
              <w:szCs w:val="44"/>
              <w:highlight w:val="none"/>
              <w:lang w:val="en-US" w:eastAsia="zh-CN" w:bidi="ar-SA"/>
            </w:rPr>
            <w:fldChar w:fldCharType="end"/>
          </w:r>
          <w:r>
            <w:rPr>
              <w:rFonts w:hint="eastAsia" w:ascii="黑体" w:hAnsi="黑体" w:eastAsia="黑体" w:cs="Times New Roman"/>
              <w:bCs/>
              <w:color w:val="auto"/>
              <w:kern w:val="44"/>
              <w:szCs w:val="44"/>
              <w:highlight w:val="none"/>
              <w:lang w:val="en-US" w:eastAsia="zh-CN" w:bidi="ar-SA"/>
            </w:rPr>
            <w:t>8</w:t>
          </w:r>
        </w:p>
        <w:p>
          <w:pPr>
            <w:pStyle w:val="32"/>
            <w:tabs>
              <w:tab w:val="right" w:leader="dot" w:pos="8845"/>
            </w:tabs>
            <w:rPr>
              <w:rFonts w:hint="default"/>
              <w:lang w:val="en-US"/>
            </w:rPr>
          </w:pPr>
          <w:r>
            <w:rPr>
              <w:rFonts w:hint="eastAsia" w:ascii="黑体" w:hAnsi="黑体" w:eastAsia="黑体" w:cs="Times New Roman"/>
              <w:bCs/>
              <w:color w:val="auto"/>
              <w:kern w:val="44"/>
              <w:szCs w:val="44"/>
              <w:highlight w:val="none"/>
              <w:lang w:val="en-US" w:eastAsia="zh-CN" w:bidi="ar-SA"/>
            </w:rPr>
            <w:fldChar w:fldCharType="begin"/>
          </w:r>
          <w:r>
            <w:rPr>
              <w:rFonts w:hint="eastAsia" w:ascii="黑体" w:hAnsi="黑体" w:eastAsia="黑体" w:cs="Times New Roman"/>
              <w:bCs/>
              <w:kern w:val="44"/>
              <w:szCs w:val="44"/>
              <w:highlight w:val="none"/>
              <w:lang w:val="en-US" w:eastAsia="zh-CN" w:bidi="ar-SA"/>
            </w:rPr>
            <w:instrText xml:space="preserve"> HYPERLINK \l _Toc19983 </w:instrText>
          </w:r>
          <w:r>
            <w:rPr>
              <w:rFonts w:hint="eastAsia" w:ascii="黑体" w:hAnsi="黑体" w:eastAsia="黑体" w:cs="Times New Roman"/>
              <w:bCs/>
              <w:kern w:val="44"/>
              <w:szCs w:val="44"/>
              <w:highlight w:val="none"/>
              <w:lang w:val="en-US" w:eastAsia="zh-CN" w:bidi="ar-SA"/>
            </w:rPr>
            <w:fldChar w:fldCharType="separate"/>
          </w:r>
          <w:r>
            <w:rPr>
              <w:rFonts w:hint="eastAsia" w:ascii="仿宋" w:hAnsi="仿宋" w:eastAsia="仿宋"/>
              <w:highlight w:val="none"/>
            </w:rPr>
            <w:t>二、收</w:t>
          </w:r>
          <w:r>
            <w:rPr>
              <w:rFonts w:hint="eastAsia" w:ascii="仿宋" w:hAnsi="仿宋" w:eastAsia="仿宋"/>
              <w:bCs w:val="0"/>
              <w:highlight w:val="none"/>
            </w:rPr>
            <w:t>入决算表</w:t>
          </w:r>
          <w:r>
            <w:tab/>
          </w:r>
          <w:r>
            <w:rPr>
              <w:rFonts w:hint="eastAsia"/>
              <w:lang w:val="en-US" w:eastAsia="zh-CN"/>
            </w:rPr>
            <w:t>4</w:t>
          </w:r>
          <w:r>
            <w:rPr>
              <w:rFonts w:hint="eastAsia" w:ascii="黑体" w:hAnsi="黑体" w:eastAsia="黑体" w:cs="Times New Roman"/>
              <w:bCs/>
              <w:color w:val="auto"/>
              <w:kern w:val="44"/>
              <w:szCs w:val="44"/>
              <w:highlight w:val="none"/>
              <w:lang w:val="en-US" w:eastAsia="zh-CN" w:bidi="ar-SA"/>
            </w:rPr>
            <w:fldChar w:fldCharType="end"/>
          </w:r>
          <w:r>
            <w:rPr>
              <w:rFonts w:hint="eastAsia" w:ascii="黑体" w:hAnsi="黑体" w:eastAsia="黑体" w:cs="Times New Roman"/>
              <w:bCs/>
              <w:color w:val="auto"/>
              <w:kern w:val="44"/>
              <w:szCs w:val="44"/>
              <w:highlight w:val="none"/>
              <w:lang w:val="en-US" w:eastAsia="zh-CN" w:bidi="ar-SA"/>
            </w:rPr>
            <w:t>8</w:t>
          </w:r>
        </w:p>
        <w:p>
          <w:pPr>
            <w:pStyle w:val="32"/>
            <w:tabs>
              <w:tab w:val="right" w:leader="dot" w:pos="8845"/>
            </w:tabs>
            <w:rPr>
              <w:rFonts w:hint="default"/>
              <w:lang w:val="en-US"/>
            </w:rPr>
          </w:pPr>
          <w:r>
            <w:rPr>
              <w:rFonts w:hint="eastAsia" w:ascii="黑体" w:hAnsi="黑体" w:eastAsia="黑体" w:cs="Times New Roman"/>
              <w:bCs/>
              <w:color w:val="auto"/>
              <w:kern w:val="44"/>
              <w:szCs w:val="44"/>
              <w:highlight w:val="none"/>
              <w:lang w:val="en-US" w:eastAsia="zh-CN" w:bidi="ar-SA"/>
            </w:rPr>
            <w:fldChar w:fldCharType="begin"/>
          </w:r>
          <w:r>
            <w:rPr>
              <w:rFonts w:hint="eastAsia" w:ascii="黑体" w:hAnsi="黑体" w:eastAsia="黑体" w:cs="Times New Roman"/>
              <w:bCs/>
              <w:kern w:val="44"/>
              <w:szCs w:val="44"/>
              <w:highlight w:val="none"/>
              <w:lang w:val="en-US" w:eastAsia="zh-CN" w:bidi="ar-SA"/>
            </w:rPr>
            <w:instrText xml:space="preserve"> HYPERLINK \l _Toc3323 </w:instrText>
          </w:r>
          <w:r>
            <w:rPr>
              <w:rFonts w:hint="eastAsia" w:ascii="黑体" w:hAnsi="黑体" w:eastAsia="黑体" w:cs="Times New Roman"/>
              <w:bCs/>
              <w:kern w:val="44"/>
              <w:szCs w:val="44"/>
              <w:highlight w:val="none"/>
              <w:lang w:val="en-US" w:eastAsia="zh-CN" w:bidi="ar-SA"/>
            </w:rPr>
            <w:fldChar w:fldCharType="separate"/>
          </w:r>
          <w:r>
            <w:rPr>
              <w:rFonts w:hint="eastAsia" w:ascii="仿宋" w:hAnsi="仿宋" w:eastAsia="仿宋"/>
              <w:bCs w:val="0"/>
              <w:highlight w:val="none"/>
            </w:rPr>
            <w:t>三、</w:t>
          </w:r>
          <w:r>
            <w:rPr>
              <w:rFonts w:hint="eastAsia" w:ascii="仿宋" w:hAnsi="仿宋" w:eastAsia="仿宋"/>
              <w:highlight w:val="none"/>
            </w:rPr>
            <w:t>支</w:t>
          </w:r>
          <w:r>
            <w:rPr>
              <w:rFonts w:hint="eastAsia" w:ascii="仿宋" w:hAnsi="仿宋" w:eastAsia="仿宋"/>
              <w:bCs w:val="0"/>
              <w:highlight w:val="none"/>
            </w:rPr>
            <w:t>出决算表</w:t>
          </w:r>
          <w:r>
            <w:tab/>
          </w:r>
          <w:r>
            <w:rPr>
              <w:rFonts w:hint="eastAsia" w:ascii="黑体" w:hAnsi="黑体" w:eastAsia="黑体" w:cs="Times New Roman"/>
              <w:bCs/>
              <w:color w:val="auto"/>
              <w:kern w:val="44"/>
              <w:szCs w:val="44"/>
              <w:highlight w:val="none"/>
              <w:lang w:val="en-US" w:eastAsia="zh-CN" w:bidi="ar-SA"/>
            </w:rPr>
            <w:fldChar w:fldCharType="end"/>
          </w:r>
          <w:r>
            <w:rPr>
              <w:rFonts w:hint="eastAsia" w:ascii="黑体" w:hAnsi="黑体" w:eastAsia="黑体" w:cs="Times New Roman"/>
              <w:bCs/>
              <w:color w:val="auto"/>
              <w:kern w:val="44"/>
              <w:szCs w:val="44"/>
              <w:highlight w:val="none"/>
              <w:lang w:val="en-US" w:eastAsia="zh-CN" w:bidi="ar-SA"/>
            </w:rPr>
            <w:t>48</w:t>
          </w:r>
        </w:p>
        <w:p>
          <w:pPr>
            <w:pStyle w:val="32"/>
            <w:tabs>
              <w:tab w:val="right" w:leader="dot" w:pos="8845"/>
            </w:tabs>
            <w:rPr>
              <w:rFonts w:hint="default"/>
              <w:lang w:val="en-US"/>
            </w:rPr>
          </w:pPr>
          <w:r>
            <w:rPr>
              <w:rFonts w:hint="eastAsia" w:ascii="黑体" w:hAnsi="黑体" w:eastAsia="黑体" w:cs="Times New Roman"/>
              <w:bCs/>
              <w:color w:val="auto"/>
              <w:kern w:val="44"/>
              <w:szCs w:val="44"/>
              <w:highlight w:val="none"/>
              <w:lang w:val="en-US" w:eastAsia="zh-CN" w:bidi="ar-SA"/>
            </w:rPr>
            <w:fldChar w:fldCharType="begin"/>
          </w:r>
          <w:r>
            <w:rPr>
              <w:rFonts w:hint="eastAsia" w:ascii="黑体" w:hAnsi="黑体" w:eastAsia="黑体" w:cs="Times New Roman"/>
              <w:bCs/>
              <w:kern w:val="44"/>
              <w:szCs w:val="44"/>
              <w:highlight w:val="none"/>
              <w:lang w:val="en-US" w:eastAsia="zh-CN" w:bidi="ar-SA"/>
            </w:rPr>
            <w:instrText xml:space="preserve"> HYPERLINK \l _Toc31569 </w:instrText>
          </w:r>
          <w:r>
            <w:rPr>
              <w:rFonts w:hint="eastAsia" w:ascii="黑体" w:hAnsi="黑体" w:eastAsia="黑体" w:cs="Times New Roman"/>
              <w:bCs/>
              <w:kern w:val="44"/>
              <w:szCs w:val="44"/>
              <w:highlight w:val="none"/>
              <w:lang w:val="en-US" w:eastAsia="zh-CN" w:bidi="ar-SA"/>
            </w:rPr>
            <w:fldChar w:fldCharType="separate"/>
          </w:r>
          <w:r>
            <w:rPr>
              <w:rFonts w:hint="eastAsia" w:ascii="仿宋" w:hAnsi="仿宋" w:eastAsia="仿宋"/>
              <w:bCs w:val="0"/>
              <w:highlight w:val="none"/>
            </w:rPr>
            <w:t>四、</w:t>
          </w:r>
          <w:r>
            <w:rPr>
              <w:rFonts w:hint="eastAsia" w:ascii="仿宋" w:hAnsi="仿宋" w:eastAsia="仿宋"/>
              <w:highlight w:val="none"/>
            </w:rPr>
            <w:t>财</w:t>
          </w:r>
          <w:r>
            <w:rPr>
              <w:rFonts w:hint="eastAsia" w:ascii="仿宋" w:hAnsi="仿宋" w:eastAsia="仿宋"/>
              <w:bCs w:val="0"/>
              <w:highlight w:val="none"/>
            </w:rPr>
            <w:t>政拨款收入支出决算总表</w:t>
          </w:r>
          <w:r>
            <w:tab/>
          </w:r>
          <w:r>
            <w:rPr>
              <w:rFonts w:hint="eastAsia" w:ascii="黑体" w:hAnsi="黑体" w:eastAsia="黑体" w:cs="Times New Roman"/>
              <w:bCs/>
              <w:color w:val="auto"/>
              <w:kern w:val="44"/>
              <w:szCs w:val="44"/>
              <w:highlight w:val="none"/>
              <w:lang w:val="en-US" w:eastAsia="zh-CN" w:bidi="ar-SA"/>
            </w:rPr>
            <w:fldChar w:fldCharType="end"/>
          </w:r>
          <w:r>
            <w:rPr>
              <w:rFonts w:hint="eastAsia" w:ascii="黑体" w:hAnsi="黑体" w:eastAsia="黑体" w:cs="Times New Roman"/>
              <w:bCs/>
              <w:color w:val="auto"/>
              <w:kern w:val="44"/>
              <w:szCs w:val="44"/>
              <w:highlight w:val="none"/>
              <w:lang w:val="en-US" w:eastAsia="zh-CN" w:bidi="ar-SA"/>
            </w:rPr>
            <w:t>48</w:t>
          </w:r>
        </w:p>
        <w:p>
          <w:pPr>
            <w:pStyle w:val="32"/>
            <w:tabs>
              <w:tab w:val="right" w:leader="dot" w:pos="8845"/>
            </w:tabs>
            <w:rPr>
              <w:rFonts w:hint="default"/>
              <w:lang w:val="en-US"/>
            </w:rPr>
          </w:pPr>
          <w:r>
            <w:rPr>
              <w:rFonts w:hint="eastAsia" w:ascii="黑体" w:hAnsi="黑体" w:eastAsia="黑体" w:cs="Times New Roman"/>
              <w:bCs/>
              <w:color w:val="auto"/>
              <w:kern w:val="44"/>
              <w:szCs w:val="44"/>
              <w:highlight w:val="none"/>
              <w:lang w:val="en-US" w:eastAsia="zh-CN" w:bidi="ar-SA"/>
            </w:rPr>
            <w:fldChar w:fldCharType="begin"/>
          </w:r>
          <w:r>
            <w:rPr>
              <w:rFonts w:hint="eastAsia" w:ascii="黑体" w:hAnsi="黑体" w:eastAsia="黑体" w:cs="Times New Roman"/>
              <w:bCs/>
              <w:kern w:val="44"/>
              <w:szCs w:val="44"/>
              <w:highlight w:val="none"/>
              <w:lang w:val="en-US" w:eastAsia="zh-CN" w:bidi="ar-SA"/>
            </w:rPr>
            <w:instrText xml:space="preserve"> HYPERLINK \l _Toc13934 </w:instrText>
          </w:r>
          <w:r>
            <w:rPr>
              <w:rFonts w:hint="eastAsia" w:ascii="黑体" w:hAnsi="黑体" w:eastAsia="黑体" w:cs="Times New Roman"/>
              <w:bCs/>
              <w:kern w:val="44"/>
              <w:szCs w:val="44"/>
              <w:highlight w:val="none"/>
              <w:lang w:val="en-US" w:eastAsia="zh-CN" w:bidi="ar-SA"/>
            </w:rPr>
            <w:fldChar w:fldCharType="separate"/>
          </w:r>
          <w:r>
            <w:rPr>
              <w:rFonts w:hint="eastAsia" w:ascii="仿宋" w:hAnsi="仿宋" w:eastAsia="仿宋"/>
              <w:bCs w:val="0"/>
              <w:highlight w:val="none"/>
            </w:rPr>
            <w:t>五、</w:t>
          </w:r>
          <w:r>
            <w:rPr>
              <w:rFonts w:hint="eastAsia" w:ascii="仿宋" w:hAnsi="仿宋" w:eastAsia="仿宋"/>
              <w:highlight w:val="none"/>
            </w:rPr>
            <w:t>财</w:t>
          </w:r>
          <w:r>
            <w:rPr>
              <w:rFonts w:hint="eastAsia" w:ascii="仿宋" w:hAnsi="仿宋" w:eastAsia="仿宋"/>
              <w:bCs w:val="0"/>
              <w:highlight w:val="none"/>
            </w:rPr>
            <w:t>政拨款支出决算明细表</w:t>
          </w:r>
          <w:r>
            <w:tab/>
          </w:r>
          <w:r>
            <w:rPr>
              <w:rFonts w:hint="eastAsia" w:ascii="黑体" w:hAnsi="黑体" w:eastAsia="黑体" w:cs="Times New Roman"/>
              <w:bCs/>
              <w:color w:val="auto"/>
              <w:kern w:val="44"/>
              <w:szCs w:val="44"/>
              <w:highlight w:val="none"/>
              <w:lang w:val="en-US" w:eastAsia="zh-CN" w:bidi="ar-SA"/>
            </w:rPr>
            <w:fldChar w:fldCharType="end"/>
          </w:r>
          <w:r>
            <w:rPr>
              <w:rFonts w:hint="eastAsia" w:ascii="黑体" w:hAnsi="黑体" w:eastAsia="黑体" w:cs="Times New Roman"/>
              <w:bCs/>
              <w:color w:val="auto"/>
              <w:kern w:val="44"/>
              <w:szCs w:val="44"/>
              <w:highlight w:val="none"/>
              <w:lang w:val="en-US" w:eastAsia="zh-CN" w:bidi="ar-SA"/>
            </w:rPr>
            <w:t>48</w:t>
          </w:r>
        </w:p>
        <w:p>
          <w:pPr>
            <w:pStyle w:val="32"/>
            <w:tabs>
              <w:tab w:val="right" w:leader="dot" w:pos="8845"/>
            </w:tabs>
            <w:rPr>
              <w:rFonts w:hint="default"/>
              <w:lang w:val="en-US"/>
            </w:rPr>
          </w:pPr>
          <w:r>
            <w:rPr>
              <w:rFonts w:hint="eastAsia" w:ascii="黑体" w:hAnsi="黑体" w:eastAsia="黑体" w:cs="Times New Roman"/>
              <w:bCs/>
              <w:color w:val="auto"/>
              <w:kern w:val="44"/>
              <w:szCs w:val="44"/>
              <w:highlight w:val="none"/>
              <w:lang w:val="en-US" w:eastAsia="zh-CN" w:bidi="ar-SA"/>
            </w:rPr>
            <w:fldChar w:fldCharType="begin"/>
          </w:r>
          <w:r>
            <w:rPr>
              <w:rFonts w:hint="eastAsia" w:ascii="黑体" w:hAnsi="黑体" w:eastAsia="黑体" w:cs="Times New Roman"/>
              <w:bCs/>
              <w:kern w:val="44"/>
              <w:szCs w:val="44"/>
              <w:highlight w:val="none"/>
              <w:lang w:val="en-US" w:eastAsia="zh-CN" w:bidi="ar-SA"/>
            </w:rPr>
            <w:instrText xml:space="preserve"> HYPERLINK \l _Toc7274 </w:instrText>
          </w:r>
          <w:r>
            <w:rPr>
              <w:rFonts w:hint="eastAsia" w:ascii="黑体" w:hAnsi="黑体" w:eastAsia="黑体" w:cs="Times New Roman"/>
              <w:bCs/>
              <w:kern w:val="44"/>
              <w:szCs w:val="44"/>
              <w:highlight w:val="none"/>
              <w:lang w:val="en-US" w:eastAsia="zh-CN" w:bidi="ar-SA"/>
            </w:rPr>
            <w:fldChar w:fldCharType="separate"/>
          </w:r>
          <w:r>
            <w:rPr>
              <w:rFonts w:hint="eastAsia" w:ascii="仿宋" w:hAnsi="仿宋" w:eastAsia="仿宋"/>
              <w:bCs w:val="0"/>
              <w:highlight w:val="none"/>
            </w:rPr>
            <w:t>六、</w:t>
          </w:r>
          <w:r>
            <w:rPr>
              <w:rFonts w:hint="eastAsia" w:ascii="仿宋" w:hAnsi="仿宋" w:eastAsia="仿宋"/>
              <w:highlight w:val="none"/>
            </w:rPr>
            <w:t>一</w:t>
          </w:r>
          <w:r>
            <w:rPr>
              <w:rFonts w:hint="eastAsia" w:ascii="仿宋" w:hAnsi="仿宋" w:eastAsia="仿宋"/>
              <w:bCs w:val="0"/>
              <w:highlight w:val="none"/>
            </w:rPr>
            <w:t>般公共预算财政拨款支出决算表</w:t>
          </w:r>
          <w:r>
            <w:tab/>
          </w:r>
          <w:r>
            <w:rPr>
              <w:rFonts w:hint="eastAsia" w:ascii="黑体" w:hAnsi="黑体" w:eastAsia="黑体" w:cs="Times New Roman"/>
              <w:bCs/>
              <w:color w:val="auto"/>
              <w:kern w:val="44"/>
              <w:szCs w:val="44"/>
              <w:highlight w:val="none"/>
              <w:lang w:val="en-US" w:eastAsia="zh-CN" w:bidi="ar-SA"/>
            </w:rPr>
            <w:fldChar w:fldCharType="end"/>
          </w:r>
          <w:r>
            <w:rPr>
              <w:rFonts w:hint="eastAsia" w:ascii="黑体" w:hAnsi="黑体" w:eastAsia="黑体" w:cs="Times New Roman"/>
              <w:bCs/>
              <w:color w:val="auto"/>
              <w:kern w:val="44"/>
              <w:szCs w:val="44"/>
              <w:highlight w:val="none"/>
              <w:lang w:val="en-US" w:eastAsia="zh-CN" w:bidi="ar-SA"/>
            </w:rPr>
            <w:t>48</w:t>
          </w:r>
        </w:p>
        <w:p>
          <w:pPr>
            <w:pStyle w:val="32"/>
            <w:tabs>
              <w:tab w:val="right" w:leader="dot" w:pos="8845"/>
            </w:tabs>
            <w:rPr>
              <w:rFonts w:hint="default"/>
              <w:lang w:val="en-US"/>
            </w:rPr>
          </w:pPr>
          <w:r>
            <w:rPr>
              <w:rFonts w:hint="eastAsia" w:ascii="黑体" w:hAnsi="黑体" w:eastAsia="黑体" w:cs="Times New Roman"/>
              <w:bCs/>
              <w:color w:val="auto"/>
              <w:kern w:val="44"/>
              <w:szCs w:val="44"/>
              <w:highlight w:val="none"/>
              <w:lang w:val="en-US" w:eastAsia="zh-CN" w:bidi="ar-SA"/>
            </w:rPr>
            <w:fldChar w:fldCharType="begin"/>
          </w:r>
          <w:r>
            <w:rPr>
              <w:rFonts w:hint="eastAsia" w:ascii="黑体" w:hAnsi="黑体" w:eastAsia="黑体" w:cs="Times New Roman"/>
              <w:bCs/>
              <w:kern w:val="44"/>
              <w:szCs w:val="44"/>
              <w:highlight w:val="none"/>
              <w:lang w:val="en-US" w:eastAsia="zh-CN" w:bidi="ar-SA"/>
            </w:rPr>
            <w:instrText xml:space="preserve"> HYPERLINK \l _Toc26475 </w:instrText>
          </w:r>
          <w:r>
            <w:rPr>
              <w:rFonts w:hint="eastAsia" w:ascii="黑体" w:hAnsi="黑体" w:eastAsia="黑体" w:cs="Times New Roman"/>
              <w:bCs/>
              <w:kern w:val="44"/>
              <w:szCs w:val="44"/>
              <w:highlight w:val="none"/>
              <w:lang w:val="en-US" w:eastAsia="zh-CN" w:bidi="ar-SA"/>
            </w:rPr>
            <w:fldChar w:fldCharType="separate"/>
          </w:r>
          <w:r>
            <w:rPr>
              <w:rFonts w:hint="eastAsia" w:ascii="仿宋" w:hAnsi="仿宋" w:eastAsia="仿宋"/>
              <w:bCs w:val="0"/>
              <w:highlight w:val="none"/>
            </w:rPr>
            <w:t>七、</w:t>
          </w:r>
          <w:r>
            <w:rPr>
              <w:rFonts w:hint="eastAsia" w:ascii="仿宋" w:hAnsi="仿宋" w:eastAsia="仿宋"/>
              <w:highlight w:val="none"/>
            </w:rPr>
            <w:t>一</w:t>
          </w:r>
          <w:r>
            <w:rPr>
              <w:rFonts w:hint="eastAsia" w:ascii="仿宋" w:hAnsi="仿宋" w:eastAsia="仿宋"/>
              <w:bCs w:val="0"/>
              <w:highlight w:val="none"/>
            </w:rPr>
            <w:t>般公共预算财政拨款支出决算明细表</w:t>
          </w:r>
          <w:r>
            <w:tab/>
          </w:r>
          <w:r>
            <w:rPr>
              <w:rFonts w:hint="eastAsia" w:ascii="黑体" w:hAnsi="黑体" w:eastAsia="黑体" w:cs="Times New Roman"/>
              <w:bCs/>
              <w:color w:val="auto"/>
              <w:kern w:val="44"/>
              <w:szCs w:val="44"/>
              <w:highlight w:val="none"/>
              <w:lang w:val="en-US" w:eastAsia="zh-CN" w:bidi="ar-SA"/>
            </w:rPr>
            <w:fldChar w:fldCharType="end"/>
          </w:r>
          <w:r>
            <w:rPr>
              <w:rFonts w:hint="eastAsia" w:ascii="黑体" w:hAnsi="黑体" w:eastAsia="黑体" w:cs="Times New Roman"/>
              <w:bCs/>
              <w:color w:val="auto"/>
              <w:kern w:val="44"/>
              <w:szCs w:val="44"/>
              <w:highlight w:val="none"/>
              <w:lang w:val="en-US" w:eastAsia="zh-CN" w:bidi="ar-SA"/>
            </w:rPr>
            <w:t>48</w:t>
          </w:r>
        </w:p>
        <w:p>
          <w:pPr>
            <w:pStyle w:val="32"/>
            <w:tabs>
              <w:tab w:val="right" w:leader="dot" w:pos="8845"/>
            </w:tabs>
            <w:rPr>
              <w:rFonts w:hint="default"/>
              <w:lang w:val="en-US"/>
            </w:rPr>
          </w:pPr>
          <w:r>
            <w:rPr>
              <w:rFonts w:hint="eastAsia" w:ascii="黑体" w:hAnsi="黑体" w:eastAsia="黑体" w:cs="Times New Roman"/>
              <w:bCs/>
              <w:color w:val="auto"/>
              <w:kern w:val="44"/>
              <w:szCs w:val="44"/>
              <w:highlight w:val="none"/>
              <w:lang w:val="en-US" w:eastAsia="zh-CN" w:bidi="ar-SA"/>
            </w:rPr>
            <w:fldChar w:fldCharType="begin"/>
          </w:r>
          <w:r>
            <w:rPr>
              <w:rFonts w:hint="eastAsia" w:ascii="黑体" w:hAnsi="黑体" w:eastAsia="黑体" w:cs="Times New Roman"/>
              <w:bCs/>
              <w:kern w:val="44"/>
              <w:szCs w:val="44"/>
              <w:highlight w:val="none"/>
              <w:lang w:val="en-US" w:eastAsia="zh-CN" w:bidi="ar-SA"/>
            </w:rPr>
            <w:instrText xml:space="preserve"> HYPERLINK \l _Toc1724 </w:instrText>
          </w:r>
          <w:r>
            <w:rPr>
              <w:rFonts w:hint="eastAsia" w:ascii="黑体" w:hAnsi="黑体" w:eastAsia="黑体" w:cs="Times New Roman"/>
              <w:bCs/>
              <w:kern w:val="44"/>
              <w:szCs w:val="44"/>
              <w:highlight w:val="none"/>
              <w:lang w:val="en-US" w:eastAsia="zh-CN" w:bidi="ar-SA"/>
            </w:rPr>
            <w:fldChar w:fldCharType="separate"/>
          </w:r>
          <w:r>
            <w:rPr>
              <w:rFonts w:hint="eastAsia" w:ascii="仿宋" w:hAnsi="仿宋" w:eastAsia="仿宋"/>
              <w:bCs w:val="0"/>
              <w:highlight w:val="none"/>
            </w:rPr>
            <w:t>八、</w:t>
          </w:r>
          <w:r>
            <w:rPr>
              <w:rFonts w:hint="eastAsia" w:ascii="仿宋" w:hAnsi="仿宋" w:eastAsia="仿宋"/>
              <w:highlight w:val="none"/>
            </w:rPr>
            <w:t>一</w:t>
          </w:r>
          <w:r>
            <w:rPr>
              <w:rFonts w:hint="eastAsia" w:ascii="仿宋" w:hAnsi="仿宋" w:eastAsia="仿宋"/>
              <w:bCs w:val="0"/>
              <w:highlight w:val="none"/>
            </w:rPr>
            <w:t>般公共预算财政拨款基本支出决算表</w:t>
          </w:r>
          <w:r>
            <w:tab/>
          </w:r>
          <w:r>
            <w:rPr>
              <w:rFonts w:hint="eastAsia" w:ascii="黑体" w:hAnsi="黑体" w:eastAsia="黑体" w:cs="Times New Roman"/>
              <w:bCs/>
              <w:color w:val="auto"/>
              <w:kern w:val="44"/>
              <w:szCs w:val="44"/>
              <w:highlight w:val="none"/>
              <w:lang w:val="en-US" w:eastAsia="zh-CN" w:bidi="ar-SA"/>
            </w:rPr>
            <w:fldChar w:fldCharType="end"/>
          </w:r>
          <w:r>
            <w:rPr>
              <w:rFonts w:hint="eastAsia" w:ascii="黑体" w:hAnsi="黑体" w:eastAsia="黑体" w:cs="Times New Roman"/>
              <w:bCs/>
              <w:color w:val="auto"/>
              <w:kern w:val="44"/>
              <w:szCs w:val="44"/>
              <w:highlight w:val="none"/>
              <w:lang w:val="en-US" w:eastAsia="zh-CN" w:bidi="ar-SA"/>
            </w:rPr>
            <w:t>48</w:t>
          </w:r>
        </w:p>
        <w:p>
          <w:pPr>
            <w:pStyle w:val="32"/>
            <w:tabs>
              <w:tab w:val="right" w:leader="dot" w:pos="8845"/>
            </w:tabs>
            <w:rPr>
              <w:rFonts w:hint="default"/>
              <w:lang w:val="en-US"/>
            </w:rPr>
          </w:pPr>
          <w:r>
            <w:rPr>
              <w:rFonts w:hint="eastAsia" w:ascii="黑体" w:hAnsi="黑体" w:eastAsia="黑体" w:cs="Times New Roman"/>
              <w:bCs/>
              <w:color w:val="auto"/>
              <w:kern w:val="44"/>
              <w:szCs w:val="44"/>
              <w:highlight w:val="none"/>
              <w:lang w:val="en-US" w:eastAsia="zh-CN" w:bidi="ar-SA"/>
            </w:rPr>
            <w:fldChar w:fldCharType="begin"/>
          </w:r>
          <w:r>
            <w:rPr>
              <w:rFonts w:hint="eastAsia" w:ascii="黑体" w:hAnsi="黑体" w:eastAsia="黑体" w:cs="Times New Roman"/>
              <w:bCs/>
              <w:kern w:val="44"/>
              <w:szCs w:val="44"/>
              <w:highlight w:val="none"/>
              <w:lang w:val="en-US" w:eastAsia="zh-CN" w:bidi="ar-SA"/>
            </w:rPr>
            <w:instrText xml:space="preserve"> HYPERLINK \l _Toc573 </w:instrText>
          </w:r>
          <w:r>
            <w:rPr>
              <w:rFonts w:hint="eastAsia" w:ascii="黑体" w:hAnsi="黑体" w:eastAsia="黑体" w:cs="Times New Roman"/>
              <w:bCs/>
              <w:kern w:val="44"/>
              <w:szCs w:val="44"/>
              <w:highlight w:val="none"/>
              <w:lang w:val="en-US" w:eastAsia="zh-CN" w:bidi="ar-SA"/>
            </w:rPr>
            <w:fldChar w:fldCharType="separate"/>
          </w:r>
          <w:r>
            <w:rPr>
              <w:rFonts w:hint="eastAsia" w:ascii="仿宋" w:hAnsi="仿宋" w:eastAsia="仿宋"/>
              <w:bCs w:val="0"/>
              <w:highlight w:val="none"/>
            </w:rPr>
            <w:t>九、</w:t>
          </w:r>
          <w:r>
            <w:rPr>
              <w:rFonts w:hint="eastAsia" w:ascii="仿宋" w:hAnsi="仿宋" w:eastAsia="仿宋"/>
              <w:highlight w:val="none"/>
            </w:rPr>
            <w:t>一</w:t>
          </w:r>
          <w:r>
            <w:rPr>
              <w:rFonts w:hint="eastAsia" w:ascii="仿宋" w:hAnsi="仿宋" w:eastAsia="仿宋"/>
              <w:bCs w:val="0"/>
              <w:highlight w:val="none"/>
            </w:rPr>
            <w:t>般公共预算财政拨款项目支出决算表</w:t>
          </w:r>
          <w:r>
            <w:tab/>
          </w:r>
          <w:r>
            <w:rPr>
              <w:rFonts w:hint="eastAsia" w:ascii="黑体" w:hAnsi="黑体" w:eastAsia="黑体" w:cs="Times New Roman"/>
              <w:bCs/>
              <w:color w:val="auto"/>
              <w:kern w:val="44"/>
              <w:szCs w:val="44"/>
              <w:highlight w:val="none"/>
              <w:lang w:val="en-US" w:eastAsia="zh-CN" w:bidi="ar-SA"/>
            </w:rPr>
            <w:fldChar w:fldCharType="end"/>
          </w:r>
          <w:r>
            <w:rPr>
              <w:rFonts w:hint="eastAsia" w:ascii="黑体" w:hAnsi="黑体" w:eastAsia="黑体" w:cs="Times New Roman"/>
              <w:bCs/>
              <w:color w:val="auto"/>
              <w:kern w:val="44"/>
              <w:szCs w:val="44"/>
              <w:highlight w:val="none"/>
              <w:lang w:val="en-US" w:eastAsia="zh-CN" w:bidi="ar-SA"/>
            </w:rPr>
            <w:t>48</w:t>
          </w:r>
        </w:p>
        <w:p>
          <w:pPr>
            <w:pStyle w:val="32"/>
            <w:tabs>
              <w:tab w:val="right" w:leader="dot" w:pos="8845"/>
            </w:tabs>
            <w:rPr>
              <w:rFonts w:hint="default"/>
              <w:lang w:val="en-US"/>
            </w:rPr>
          </w:pPr>
          <w:r>
            <w:rPr>
              <w:rFonts w:hint="eastAsia" w:ascii="黑体" w:hAnsi="黑体" w:eastAsia="黑体" w:cs="Times New Roman"/>
              <w:bCs/>
              <w:color w:val="auto"/>
              <w:kern w:val="44"/>
              <w:szCs w:val="44"/>
              <w:highlight w:val="none"/>
              <w:lang w:val="en-US" w:eastAsia="zh-CN" w:bidi="ar-SA"/>
            </w:rPr>
            <w:fldChar w:fldCharType="begin"/>
          </w:r>
          <w:r>
            <w:rPr>
              <w:rFonts w:hint="eastAsia" w:ascii="黑体" w:hAnsi="黑体" w:eastAsia="黑体" w:cs="Times New Roman"/>
              <w:bCs/>
              <w:kern w:val="44"/>
              <w:szCs w:val="44"/>
              <w:highlight w:val="none"/>
              <w:lang w:val="en-US" w:eastAsia="zh-CN" w:bidi="ar-SA"/>
            </w:rPr>
            <w:instrText xml:space="preserve"> HYPERLINK \l _Toc13325 </w:instrText>
          </w:r>
          <w:r>
            <w:rPr>
              <w:rFonts w:hint="eastAsia" w:ascii="黑体" w:hAnsi="黑体" w:eastAsia="黑体" w:cs="Times New Roman"/>
              <w:bCs/>
              <w:kern w:val="44"/>
              <w:szCs w:val="44"/>
              <w:highlight w:val="none"/>
              <w:lang w:val="en-US" w:eastAsia="zh-CN" w:bidi="ar-SA"/>
            </w:rPr>
            <w:fldChar w:fldCharType="separate"/>
          </w:r>
          <w:r>
            <w:rPr>
              <w:rFonts w:hint="eastAsia" w:ascii="仿宋" w:hAnsi="仿宋" w:eastAsia="仿宋"/>
              <w:bCs w:val="0"/>
              <w:highlight w:val="none"/>
            </w:rPr>
            <w:t>十、</w:t>
          </w:r>
          <w:r>
            <w:rPr>
              <w:rFonts w:hint="eastAsia" w:ascii="仿宋" w:hAnsi="仿宋" w:eastAsia="仿宋"/>
              <w:highlight w:val="none"/>
            </w:rPr>
            <w:t>政</w:t>
          </w:r>
          <w:r>
            <w:rPr>
              <w:rFonts w:hint="eastAsia" w:ascii="仿宋" w:hAnsi="仿宋" w:eastAsia="仿宋"/>
              <w:bCs w:val="0"/>
              <w:highlight w:val="none"/>
            </w:rPr>
            <w:t>府性基金预算财政拨款收入支出决算表</w:t>
          </w:r>
          <w:r>
            <w:tab/>
          </w:r>
          <w:r>
            <w:rPr>
              <w:rFonts w:hint="eastAsia" w:ascii="黑体" w:hAnsi="黑体" w:eastAsia="黑体" w:cs="Times New Roman"/>
              <w:bCs/>
              <w:color w:val="auto"/>
              <w:kern w:val="44"/>
              <w:szCs w:val="44"/>
              <w:highlight w:val="none"/>
              <w:lang w:val="en-US" w:eastAsia="zh-CN" w:bidi="ar-SA"/>
            </w:rPr>
            <w:fldChar w:fldCharType="end"/>
          </w:r>
          <w:r>
            <w:rPr>
              <w:rFonts w:hint="eastAsia" w:ascii="黑体" w:hAnsi="黑体" w:eastAsia="黑体" w:cs="Times New Roman"/>
              <w:bCs/>
              <w:color w:val="auto"/>
              <w:kern w:val="44"/>
              <w:szCs w:val="44"/>
              <w:highlight w:val="none"/>
              <w:lang w:val="en-US" w:eastAsia="zh-CN" w:bidi="ar-SA"/>
            </w:rPr>
            <w:t>48</w:t>
          </w:r>
        </w:p>
        <w:p>
          <w:pPr>
            <w:pStyle w:val="32"/>
            <w:tabs>
              <w:tab w:val="right" w:leader="dot" w:pos="8845"/>
            </w:tabs>
            <w:rPr>
              <w:rFonts w:hint="default"/>
              <w:lang w:val="en-US"/>
            </w:rPr>
          </w:pPr>
          <w:r>
            <w:rPr>
              <w:rFonts w:hint="eastAsia" w:ascii="黑体" w:hAnsi="黑体" w:eastAsia="黑体" w:cs="Times New Roman"/>
              <w:bCs/>
              <w:color w:val="auto"/>
              <w:kern w:val="44"/>
              <w:szCs w:val="44"/>
              <w:highlight w:val="none"/>
              <w:lang w:val="en-US" w:eastAsia="zh-CN" w:bidi="ar-SA"/>
            </w:rPr>
            <w:fldChar w:fldCharType="begin"/>
          </w:r>
          <w:r>
            <w:rPr>
              <w:rFonts w:hint="eastAsia" w:ascii="黑体" w:hAnsi="黑体" w:eastAsia="黑体" w:cs="Times New Roman"/>
              <w:bCs/>
              <w:kern w:val="44"/>
              <w:szCs w:val="44"/>
              <w:highlight w:val="none"/>
              <w:lang w:val="en-US" w:eastAsia="zh-CN" w:bidi="ar-SA"/>
            </w:rPr>
            <w:instrText xml:space="preserve"> HYPERLINK \l _Toc24470 </w:instrText>
          </w:r>
          <w:r>
            <w:rPr>
              <w:rFonts w:hint="eastAsia" w:ascii="黑体" w:hAnsi="黑体" w:eastAsia="黑体" w:cs="Times New Roman"/>
              <w:bCs/>
              <w:kern w:val="44"/>
              <w:szCs w:val="44"/>
              <w:highlight w:val="none"/>
              <w:lang w:val="en-US" w:eastAsia="zh-CN" w:bidi="ar-SA"/>
            </w:rP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tab/>
          </w:r>
          <w:r>
            <w:rPr>
              <w:rFonts w:hint="eastAsia" w:ascii="黑体" w:hAnsi="黑体" w:eastAsia="黑体" w:cs="Times New Roman"/>
              <w:bCs/>
              <w:color w:val="auto"/>
              <w:kern w:val="44"/>
              <w:szCs w:val="44"/>
              <w:highlight w:val="none"/>
              <w:lang w:val="en-US" w:eastAsia="zh-CN" w:bidi="ar-SA"/>
            </w:rPr>
            <w:fldChar w:fldCharType="end"/>
          </w:r>
          <w:r>
            <w:rPr>
              <w:rFonts w:hint="eastAsia" w:ascii="黑体" w:hAnsi="黑体" w:eastAsia="黑体" w:cs="Times New Roman"/>
              <w:bCs/>
              <w:color w:val="auto"/>
              <w:kern w:val="44"/>
              <w:szCs w:val="44"/>
              <w:highlight w:val="none"/>
              <w:lang w:val="en-US" w:eastAsia="zh-CN" w:bidi="ar-SA"/>
            </w:rPr>
            <w:t>48</w:t>
          </w:r>
        </w:p>
        <w:p>
          <w:pPr>
            <w:pStyle w:val="32"/>
            <w:tabs>
              <w:tab w:val="right" w:leader="dot" w:pos="8845"/>
            </w:tabs>
            <w:rPr>
              <w:rFonts w:hint="default"/>
              <w:lang w:val="en-US"/>
            </w:rPr>
          </w:pPr>
          <w:r>
            <w:rPr>
              <w:rFonts w:hint="eastAsia" w:ascii="黑体" w:hAnsi="黑体" w:eastAsia="黑体" w:cs="Times New Roman"/>
              <w:bCs/>
              <w:color w:val="auto"/>
              <w:kern w:val="44"/>
              <w:szCs w:val="44"/>
              <w:highlight w:val="none"/>
              <w:lang w:val="en-US" w:eastAsia="zh-CN" w:bidi="ar-SA"/>
            </w:rPr>
            <w:fldChar w:fldCharType="begin"/>
          </w:r>
          <w:r>
            <w:rPr>
              <w:rFonts w:hint="eastAsia" w:ascii="黑体" w:hAnsi="黑体" w:eastAsia="黑体" w:cs="Times New Roman"/>
              <w:bCs/>
              <w:kern w:val="44"/>
              <w:szCs w:val="44"/>
              <w:highlight w:val="none"/>
              <w:lang w:val="en-US" w:eastAsia="zh-CN" w:bidi="ar-SA"/>
            </w:rPr>
            <w:instrText xml:space="preserve"> HYPERLINK \l _Toc20546 </w:instrText>
          </w:r>
          <w:r>
            <w:rPr>
              <w:rFonts w:hint="eastAsia" w:ascii="黑体" w:hAnsi="黑体" w:eastAsia="黑体" w:cs="Times New Roman"/>
              <w:bCs/>
              <w:kern w:val="44"/>
              <w:szCs w:val="44"/>
              <w:highlight w:val="none"/>
              <w:lang w:val="en-US" w:eastAsia="zh-CN" w:bidi="ar-SA"/>
            </w:rP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tab/>
          </w:r>
          <w:r>
            <w:rPr>
              <w:rFonts w:hint="eastAsia" w:ascii="黑体" w:hAnsi="黑体" w:eastAsia="黑体" w:cs="Times New Roman"/>
              <w:bCs/>
              <w:color w:val="auto"/>
              <w:kern w:val="44"/>
              <w:szCs w:val="44"/>
              <w:highlight w:val="none"/>
              <w:lang w:val="en-US" w:eastAsia="zh-CN" w:bidi="ar-SA"/>
            </w:rPr>
            <w:fldChar w:fldCharType="end"/>
          </w:r>
          <w:r>
            <w:rPr>
              <w:rFonts w:hint="eastAsia" w:ascii="黑体" w:hAnsi="黑体" w:eastAsia="黑体" w:cs="Times New Roman"/>
              <w:bCs/>
              <w:color w:val="auto"/>
              <w:kern w:val="44"/>
              <w:szCs w:val="44"/>
              <w:highlight w:val="none"/>
              <w:lang w:val="en-US" w:eastAsia="zh-CN" w:bidi="ar-SA"/>
            </w:rPr>
            <w:t>48</w:t>
          </w:r>
        </w:p>
        <w:p>
          <w:pPr>
            <w:pStyle w:val="32"/>
            <w:tabs>
              <w:tab w:val="right" w:leader="dot" w:pos="8845"/>
            </w:tabs>
            <w:rPr>
              <w:rFonts w:hint="default"/>
              <w:lang w:val="en-US"/>
            </w:rPr>
          </w:pPr>
          <w:r>
            <w:rPr>
              <w:rFonts w:hint="eastAsia" w:ascii="黑体" w:hAnsi="黑体" w:eastAsia="黑体" w:cs="Times New Roman"/>
              <w:bCs/>
              <w:color w:val="auto"/>
              <w:kern w:val="44"/>
              <w:szCs w:val="44"/>
              <w:highlight w:val="none"/>
              <w:lang w:val="en-US" w:eastAsia="zh-CN" w:bidi="ar-SA"/>
            </w:rPr>
            <w:fldChar w:fldCharType="begin"/>
          </w:r>
          <w:r>
            <w:rPr>
              <w:rFonts w:hint="eastAsia" w:ascii="黑体" w:hAnsi="黑体" w:eastAsia="黑体" w:cs="Times New Roman"/>
              <w:bCs/>
              <w:kern w:val="44"/>
              <w:szCs w:val="44"/>
              <w:highlight w:val="none"/>
              <w:lang w:val="en-US" w:eastAsia="zh-CN" w:bidi="ar-SA"/>
            </w:rPr>
            <w:instrText xml:space="preserve"> HYPERLINK \l _Toc16853 </w:instrText>
          </w:r>
          <w:r>
            <w:rPr>
              <w:rFonts w:hint="eastAsia" w:ascii="黑体" w:hAnsi="黑体" w:eastAsia="黑体" w:cs="Times New Roman"/>
              <w:bCs/>
              <w:kern w:val="44"/>
              <w:szCs w:val="44"/>
              <w:highlight w:val="none"/>
              <w:lang w:val="en-US" w:eastAsia="zh-CN" w:bidi="ar-SA"/>
            </w:rP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tab/>
          </w:r>
          <w:r>
            <w:rPr>
              <w:rFonts w:hint="eastAsia" w:ascii="黑体" w:hAnsi="黑体" w:eastAsia="黑体" w:cs="Times New Roman"/>
              <w:bCs/>
              <w:color w:val="auto"/>
              <w:kern w:val="44"/>
              <w:szCs w:val="44"/>
              <w:highlight w:val="none"/>
              <w:lang w:val="en-US" w:eastAsia="zh-CN" w:bidi="ar-SA"/>
            </w:rPr>
            <w:fldChar w:fldCharType="end"/>
          </w:r>
          <w:r>
            <w:rPr>
              <w:rFonts w:hint="eastAsia" w:ascii="黑体" w:hAnsi="黑体" w:eastAsia="黑体" w:cs="Times New Roman"/>
              <w:bCs/>
              <w:color w:val="auto"/>
              <w:kern w:val="44"/>
              <w:szCs w:val="44"/>
              <w:highlight w:val="none"/>
              <w:lang w:val="en-US" w:eastAsia="zh-CN" w:bidi="ar-SA"/>
            </w:rPr>
            <w:t>48</w:t>
          </w:r>
        </w:p>
        <w:p>
          <w:pPr>
            <w:jc w:val="both"/>
            <w:rPr>
              <w:rFonts w:hint="eastAsia" w:ascii="黑体" w:hAnsi="黑体" w:eastAsia="黑体" w:cs="Times New Roman"/>
              <w:b w:val="0"/>
              <w:bCs/>
              <w:color w:val="auto"/>
              <w:kern w:val="44"/>
              <w:sz w:val="44"/>
              <w:szCs w:val="44"/>
              <w:highlight w:val="none"/>
              <w:lang w:val="en-US" w:eastAsia="zh-CN" w:bidi="ar-SA"/>
            </w:rPr>
            <w:sectPr>
              <w:headerReference r:id="rId3" w:type="default"/>
              <w:footerReference r:id="rId4" w:type="default"/>
              <w:pgSz w:w="11906" w:h="16838"/>
              <w:pgMar w:top="2098" w:right="1474" w:bottom="1531" w:left="1587" w:header="851" w:footer="1559" w:gutter="0"/>
              <w:pgNumType w:fmt="decimal" w:start="20"/>
              <w:cols w:space="425" w:num="1"/>
              <w:docGrid w:type="lines" w:linePitch="312" w:charSpace="0"/>
            </w:sectPr>
          </w:pPr>
          <w:r>
            <w:rPr>
              <w:rFonts w:hint="eastAsia" w:ascii="黑体" w:hAnsi="黑体" w:eastAsia="黑体" w:cs="Times New Roman"/>
              <w:b/>
              <w:bCs/>
              <w:color w:val="auto"/>
              <w:kern w:val="44"/>
              <w:szCs w:val="44"/>
              <w:highlight w:val="none"/>
              <w:lang w:val="en-US" w:eastAsia="zh-CN" w:bidi="ar-SA"/>
            </w:rPr>
            <w:fldChar w:fldCharType="end"/>
          </w:r>
        </w:p>
      </w:sdtContent>
    </w:sdt>
    <w:p>
      <w:pPr>
        <w:jc w:val="center"/>
        <w:outlineLvl w:val="0"/>
        <w:rPr>
          <w:rFonts w:hint="eastAsia" w:ascii="黑体" w:hAnsi="黑体" w:eastAsia="黑体" w:cs="Times New Roman"/>
          <w:b w:val="0"/>
          <w:bCs/>
          <w:color w:val="auto"/>
          <w:kern w:val="44"/>
          <w:sz w:val="44"/>
          <w:szCs w:val="44"/>
          <w:highlight w:val="none"/>
          <w:lang w:val="en-US" w:eastAsia="zh-CN" w:bidi="ar-SA"/>
        </w:rPr>
      </w:pPr>
      <w:bookmarkStart w:id="14" w:name="_Toc314645930_WPSOffice_Level1"/>
      <w:bookmarkStart w:id="15" w:name="_Toc24295"/>
      <w:r>
        <w:rPr>
          <w:rFonts w:hint="eastAsia" w:ascii="黑体" w:hAnsi="黑体" w:eastAsia="黑体" w:cs="Times New Roman"/>
          <w:b w:val="0"/>
          <w:bCs/>
          <w:color w:val="auto"/>
          <w:kern w:val="44"/>
          <w:sz w:val="44"/>
          <w:szCs w:val="44"/>
          <w:highlight w:val="none"/>
          <w:lang w:val="en-US" w:eastAsia="zh-CN" w:bidi="ar-SA"/>
        </w:rPr>
        <w:t>第一部分 单位概况</w:t>
      </w:r>
      <w:bookmarkEnd w:id="14"/>
      <w:bookmarkEnd w:id="15"/>
    </w:p>
    <w:p>
      <w:pPr>
        <w:pStyle w:val="4"/>
        <w:pageBreakBefore w:val="0"/>
        <w:widowControl w:val="0"/>
        <w:numPr>
          <w:ilvl w:val="0"/>
          <w:numId w:val="0"/>
        </w:numPr>
        <w:kinsoku/>
        <w:wordWrap/>
        <w:overflowPunct/>
        <w:topLinePunct w:val="0"/>
        <w:autoSpaceDE/>
        <w:autoSpaceDN/>
        <w:bidi w:val="0"/>
        <w:adjustRightInd/>
        <w:snapToGrid/>
        <w:spacing w:before="0" w:after="0"/>
        <w:ind w:firstLine="640" w:firstLineChars="200"/>
        <w:textAlignment w:val="auto"/>
        <w:rPr>
          <w:rStyle w:val="18"/>
          <w:rFonts w:hint="eastAsia" w:ascii="黑体" w:hAnsi="黑体" w:eastAsia="黑体"/>
          <w:b w:val="0"/>
          <w:bCs w:val="0"/>
          <w:color w:val="auto"/>
          <w:highlight w:val="none"/>
          <w:lang w:eastAsia="zh-CN"/>
        </w:rPr>
      </w:pPr>
      <w:bookmarkStart w:id="16" w:name="_Toc6087"/>
      <w:bookmarkStart w:id="17" w:name="_Toc1825387342_WPSOffice_Level2"/>
      <w:bookmarkStart w:id="18" w:name="_Toc15377197"/>
      <w:bookmarkStart w:id="19" w:name="_Toc15396600"/>
      <w:r>
        <w:rPr>
          <w:rStyle w:val="18"/>
          <w:rFonts w:hint="eastAsia" w:ascii="黑体" w:hAnsi="黑体" w:eastAsia="黑体"/>
          <w:b w:val="0"/>
          <w:bCs w:val="0"/>
          <w:color w:val="auto"/>
          <w:highlight w:val="none"/>
          <w:lang w:eastAsia="zh-CN"/>
        </w:rPr>
        <w:t>一、主要职责</w:t>
      </w:r>
      <w:bookmarkEnd w:id="16"/>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lang w:eastAsia="zh-CN"/>
        </w:rPr>
      </w:pPr>
      <w:r>
        <w:rPr>
          <w:rFonts w:hint="eastAsia" w:ascii="仿宋_GB2312" w:hAnsi="仿宋_GB2312" w:eastAsia="仿宋_GB2312" w:cs="仿宋_GB2312"/>
          <w:sz w:val="32"/>
          <w:szCs w:val="32"/>
        </w:rPr>
        <w:t>拟订全市财政、税收的发展战略、规划、政策和改革方案并组织实施，参与宏观经济分析预测和全市重大宏观经济政策的制定，提出运用财税政策实施宏观经济调控和综合平衡全市财力的建议。贯彻执行国家财税法律、法规和方针、政策，组织起草地方性财税法规的实施办法和政策规定并组织实施，按照管理权限管理全市税政事项。承担各项财政收支管理，负责编制年度市级预决算草案并组织实施，受市政府委托，向市人民代表大会报告全市和市级预算及其执行情况，向市人大常委会报告决算，组织制定经费开支标准、定额，负责审核批复部门（单位）的年度预决算，完善转移支付制度。负责政府非税收入管理，负责政府性基金管理，按规定管理行政事业性收费，管理财政票据，负责彩票的监管和发行规模的审核上报工作。制定全市国库管理制度、国库集中收付制度，指导和监督国库业务，组织开展国库现金管理工作。制定政府采购制度，编制政府采购预算，监督管理全市政府采购工作。制定全市行政事业单位国有资产管理制度规定及市级机关事业单位国有资产收益管理办法，并对执行情况进行监督检查，负责市级机关国有资产经营收益财政专户管理工作。审核和汇总编制全市国有资本经营预决算草案，制订国有资本经营预算的制度和办法，收取市本级企业国有资本收益，组织实施企业财务制度，管理金融类企业国有资产，参与拟订企业国有资产管理相关制度，管理资产评估工作。负责管理和监督财政性经济发展支出、政府性投资项目的财政拨款，参与拟订政府性建设投资的有关政策，制定基本建设财务制度，负责投资评审管理工作。负责有关政策性补贴和专项储备资金财政管理工作。负责全市农业综合开发管理工作。会同相关部门管理全市社会保障和就业及医疗卫生支出，会同相关部门拟订社会保障资金（基金）的财务管理制度，编制市级社会保障预决算草案。组织实施政府债务管理制度和政策，制定具体管理办法，管理政府债务，防范财政风险，管理外国政府和国际金融机构贷（赠）款项目的有关业务。负责全市的会计工作，监督和规范会计行为，组织实施国家统一的会计制度，指导和监督注册会计师和会计师事务所的业务，指导和管理社会审计。负责财政资金绩效评价。监督检查财税法规、政策的执行情况，反映财政收支管理中的重大问题。依法查处违反财经法纪的行为。负责财政宣传和财政信息管理系统工作，负责全市财政业务培训。承担市政府公布的有关行政审批事项。负责全市PPP政策研究和实施办法的制定、市级PPP项目库的建立更新，项目实施方案的汇总和审核等工作。承办市政府交办的其他事项。</w:t>
      </w:r>
    </w:p>
    <w:p>
      <w:pPr>
        <w:pStyle w:val="4"/>
        <w:pageBreakBefore w:val="0"/>
        <w:widowControl w:val="0"/>
        <w:numPr>
          <w:ilvl w:val="0"/>
          <w:numId w:val="0"/>
        </w:numPr>
        <w:kinsoku/>
        <w:wordWrap/>
        <w:overflowPunct/>
        <w:topLinePunct w:val="0"/>
        <w:autoSpaceDE/>
        <w:autoSpaceDN/>
        <w:bidi w:val="0"/>
        <w:adjustRightInd/>
        <w:snapToGrid/>
        <w:spacing w:before="0" w:after="0"/>
        <w:ind w:firstLine="640" w:firstLineChars="200"/>
        <w:textAlignment w:val="auto"/>
        <w:rPr>
          <w:rFonts w:hint="eastAsia" w:ascii="黑体" w:hAnsi="黑体" w:eastAsia="黑体"/>
          <w:b w:val="0"/>
          <w:color w:val="auto"/>
          <w:highlight w:val="none"/>
          <w:lang w:val="en-US" w:eastAsia="zh-CN"/>
        </w:rPr>
      </w:pPr>
      <w:bookmarkStart w:id="20" w:name="_Toc3344"/>
      <w:bookmarkStart w:id="21" w:name="_Toc2044282993_WPSOffice_Level2"/>
      <w:r>
        <w:rPr>
          <w:rFonts w:hint="eastAsia" w:ascii="黑体" w:hAnsi="黑体" w:eastAsia="黑体"/>
          <w:b w:val="0"/>
          <w:color w:val="auto"/>
          <w:highlight w:val="none"/>
          <w:lang w:val="en-US" w:eastAsia="zh-CN"/>
        </w:rPr>
        <w:t>二、机构设置</w:t>
      </w:r>
      <w:bookmarkEnd w:id="20"/>
      <w:bookmarkEnd w:id="21"/>
    </w:p>
    <w:bookmarkEnd w:id="18"/>
    <w:bookmarkEnd w:id="19"/>
    <w:p>
      <w:pPr>
        <w:keepNext w:val="0"/>
        <w:keepLines w:val="0"/>
        <w:widowControl/>
        <w:suppressLineNumbers w:val="0"/>
        <w:spacing w:before="0" w:beforeAutospacing="0" w:after="0" w:afterAutospacing="0"/>
        <w:ind w:left="0" w:right="0" w:firstLine="0"/>
        <w:jc w:val="both"/>
        <w:rPr>
          <w:rFonts w:ascii="仿宋" w:hAnsi="仿宋" w:eastAsia="仿宋"/>
          <w:color w:val="auto"/>
          <w:kern w:val="0"/>
          <w:sz w:val="32"/>
          <w:szCs w:val="32"/>
          <w:highlight w:val="none"/>
        </w:rPr>
      </w:pPr>
      <w:r>
        <w:rPr>
          <w:rFonts w:hint="eastAsia" w:ascii="仿宋" w:hAnsi="仿宋" w:eastAsia="仿宋"/>
          <w:color w:val="auto"/>
          <w:sz w:val="32"/>
          <w:szCs w:val="32"/>
          <w:highlight w:val="none"/>
          <w:lang w:val="en-US" w:eastAsia="zh-CN"/>
        </w:rPr>
        <w:t xml:space="preserve">    </w:t>
      </w:r>
      <w:r>
        <w:rPr>
          <w:rFonts w:hint="eastAsia" w:ascii="仿宋_GB2312" w:hAnsi="仿宋_GB2312" w:eastAsia="仿宋_GB2312" w:cs="仿宋_GB2312"/>
          <w:sz w:val="32"/>
          <w:szCs w:val="32"/>
        </w:rPr>
        <w:t>广元市财政局</w:t>
      </w:r>
      <w:r>
        <w:rPr>
          <w:rFonts w:hint="default" w:ascii="仿宋_GB2312" w:hAnsi="仿宋_GB2312" w:eastAsia="仿宋_GB2312" w:cs="仿宋_GB2312"/>
          <w:sz w:val="32"/>
          <w:szCs w:val="32"/>
        </w:rPr>
        <w:t>机关</w:t>
      </w:r>
      <w:r>
        <w:rPr>
          <w:rFonts w:hint="eastAsia" w:ascii="仿宋_GB2312" w:hAnsi="仿宋_GB2312" w:eastAsia="仿宋_GB2312" w:cs="仿宋_GB2312"/>
          <w:sz w:val="32"/>
          <w:szCs w:val="32"/>
          <w:lang w:val="en-US" w:eastAsia="zh-CN"/>
        </w:rPr>
        <w:t>为</w:t>
      </w:r>
      <w:r>
        <w:rPr>
          <w:rFonts w:ascii="仿宋_GB2312" w:hAnsi="Times New Roman" w:eastAsia="仿宋_GB2312" w:cs="仿宋_GB2312"/>
          <w:i w:val="0"/>
          <w:iCs w:val="0"/>
          <w:caps w:val="0"/>
          <w:color w:val="000000"/>
          <w:spacing w:val="0"/>
          <w:kern w:val="0"/>
          <w:sz w:val="32"/>
          <w:szCs w:val="32"/>
          <w:lang w:val="en-US" w:eastAsia="zh-CN" w:bidi="ar"/>
        </w:rPr>
        <w:t>下属</w:t>
      </w:r>
      <w:r>
        <w:rPr>
          <w:rFonts w:ascii="仿宋_GB2312" w:hAnsi="Times New Roman" w:eastAsia="仿宋_GB2312" w:cs="仿宋_GB2312"/>
          <w:i w:val="0"/>
          <w:iCs w:val="0"/>
          <w:caps w:val="0"/>
          <w:color w:val="000000"/>
          <w:spacing w:val="0"/>
          <w:kern w:val="0"/>
          <w:sz w:val="32"/>
          <w:szCs w:val="32"/>
          <w:lang w:eastAsia="zh-CN" w:bidi="ar"/>
        </w:rPr>
        <w:t>广元市财政局部门下属</w:t>
      </w:r>
      <w:r>
        <w:rPr>
          <w:rFonts w:ascii="仿宋_GB2312" w:hAnsi="Times New Roman" w:eastAsia="仿宋_GB2312" w:cs="仿宋_GB2312"/>
          <w:i w:val="0"/>
          <w:iCs w:val="0"/>
          <w:caps w:val="0"/>
          <w:color w:val="000000"/>
          <w:spacing w:val="0"/>
          <w:kern w:val="0"/>
          <w:sz w:val="32"/>
          <w:szCs w:val="32"/>
          <w:lang w:val="en-US" w:eastAsia="zh-CN" w:bidi="ar"/>
        </w:rPr>
        <w:t>二级</w:t>
      </w:r>
      <w:r>
        <w:rPr>
          <w:rFonts w:ascii="仿宋_GB2312" w:hAnsi="Times New Roman" w:eastAsia="仿宋_GB2312" w:cs="仿宋_GB2312"/>
          <w:i w:val="0"/>
          <w:iCs w:val="0"/>
          <w:caps w:val="0"/>
          <w:color w:val="000000"/>
          <w:spacing w:val="0"/>
          <w:kern w:val="0"/>
          <w:sz w:val="32"/>
          <w:szCs w:val="32"/>
          <w:lang w:eastAsia="zh-CN" w:bidi="ar"/>
        </w:rPr>
        <w:t>预算</w:t>
      </w:r>
      <w:r>
        <w:rPr>
          <w:rFonts w:ascii="仿宋_GB2312" w:hAnsi="Times New Roman" w:eastAsia="仿宋_GB2312" w:cs="仿宋_GB2312"/>
          <w:i w:val="0"/>
          <w:iCs w:val="0"/>
          <w:caps w:val="0"/>
          <w:color w:val="000000"/>
          <w:spacing w:val="0"/>
          <w:kern w:val="0"/>
          <w:sz w:val="32"/>
          <w:szCs w:val="32"/>
          <w:lang w:val="en-US" w:eastAsia="zh-CN" w:bidi="ar"/>
        </w:rPr>
        <w:t>单位</w:t>
      </w:r>
      <w:r>
        <w:rPr>
          <w:rFonts w:ascii="仿宋_GB2312" w:hAnsi="Times New Roman" w:eastAsia="仿宋_GB2312" w:cs="仿宋_GB2312"/>
          <w:i w:val="0"/>
          <w:iCs w:val="0"/>
          <w:caps w:val="0"/>
          <w:color w:val="000000"/>
          <w:spacing w:val="0"/>
          <w:kern w:val="0"/>
          <w:sz w:val="32"/>
          <w:szCs w:val="32"/>
          <w:lang w:eastAsia="zh-CN" w:bidi="ar"/>
        </w:rPr>
        <w:t>，是</w:t>
      </w:r>
      <w:r>
        <w:rPr>
          <w:rFonts w:hint="eastAsia" w:ascii="仿宋_GB2312" w:hAnsi="仿宋_GB2312" w:eastAsia="仿宋_GB2312" w:cs="仿宋_GB2312"/>
          <w:sz w:val="32"/>
          <w:szCs w:val="32"/>
          <w:lang w:val="en-US" w:eastAsia="zh-CN"/>
        </w:rPr>
        <w:t>全额财政拨款</w:t>
      </w:r>
      <w:r>
        <w:rPr>
          <w:rFonts w:hint="eastAsia" w:ascii="仿宋_GB2312" w:hAnsi="仿宋_GB2312" w:eastAsia="仿宋_GB2312" w:cs="仿宋_GB2312"/>
          <w:sz w:val="32"/>
          <w:szCs w:val="32"/>
        </w:rPr>
        <w:t>行政单位。</w:t>
      </w:r>
      <w:r>
        <w:rPr>
          <w:rFonts w:ascii="仿宋" w:hAnsi="仿宋" w:eastAsia="仿宋"/>
          <w:color w:val="auto"/>
          <w:sz w:val="32"/>
          <w:szCs w:val="32"/>
          <w:highlight w:val="none"/>
        </w:rPr>
        <w:br w:type="page"/>
      </w:r>
    </w:p>
    <w:p>
      <w:pPr>
        <w:pStyle w:val="3"/>
        <w:ind w:right="440"/>
        <w:jc w:val="center"/>
        <w:rPr>
          <w:rStyle w:val="17"/>
          <w:rFonts w:ascii="黑体" w:hAnsi="黑体" w:eastAsia="黑体"/>
          <w:b w:val="0"/>
          <w:bCs/>
          <w:color w:val="auto"/>
          <w:highlight w:val="none"/>
        </w:rPr>
      </w:pPr>
      <w:bookmarkStart w:id="22" w:name="_Toc11364"/>
      <w:bookmarkStart w:id="23" w:name="_Toc15377204"/>
      <w:bookmarkStart w:id="24" w:name="_Toc1825387342_WPSOffice_Level1"/>
      <w:bookmarkStart w:id="25" w:name="_Toc15396602"/>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17"/>
          <w:rFonts w:hint="eastAsia" w:ascii="黑体" w:hAnsi="黑体" w:eastAsia="黑体"/>
          <w:b w:val="0"/>
          <w:bCs/>
          <w:color w:val="auto"/>
          <w:highlight w:val="none"/>
          <w:lang w:eastAsia="zh-CN"/>
        </w:rPr>
        <w:t>单位</w:t>
      </w:r>
      <w:r>
        <w:rPr>
          <w:rStyle w:val="17"/>
          <w:rFonts w:hint="eastAsia" w:ascii="黑体" w:hAnsi="黑体" w:eastAsia="黑体"/>
          <w:b w:val="0"/>
          <w:bCs/>
          <w:color w:val="auto"/>
          <w:highlight w:val="none"/>
        </w:rPr>
        <w:t>决算情况说明</w:t>
      </w:r>
      <w:bookmarkEnd w:id="22"/>
      <w:bookmarkEnd w:id="23"/>
      <w:bookmarkEnd w:id="24"/>
      <w:bookmarkEnd w:id="25"/>
    </w:p>
    <w:p>
      <w:pPr>
        <w:rPr>
          <w:color w:val="auto"/>
          <w:highlight w:val="none"/>
        </w:rPr>
      </w:pPr>
    </w:p>
    <w:p>
      <w:pPr>
        <w:pStyle w:val="27"/>
        <w:numPr>
          <w:ilvl w:val="0"/>
          <w:numId w:val="1"/>
        </w:numPr>
        <w:spacing w:line="600" w:lineRule="exact"/>
        <w:ind w:firstLineChars="0"/>
        <w:outlineLvl w:val="1"/>
        <w:rPr>
          <w:rStyle w:val="18"/>
          <w:rFonts w:ascii="黑体" w:hAnsi="黑体" w:eastAsia="黑体"/>
          <w:b w:val="0"/>
          <w:color w:val="auto"/>
          <w:highlight w:val="none"/>
        </w:rPr>
      </w:pPr>
      <w:bookmarkStart w:id="26" w:name="_Toc15396603"/>
      <w:bookmarkStart w:id="27" w:name="_Toc29707"/>
      <w:bookmarkStart w:id="28" w:name="_Toc15377205"/>
      <w:bookmarkStart w:id="29" w:name="_Toc299419917_WPSOffice_Level2"/>
      <w:r>
        <w:rPr>
          <w:rFonts w:hint="eastAsia" w:ascii="黑体" w:hAnsi="黑体" w:eastAsia="黑体"/>
          <w:color w:val="auto"/>
          <w:sz w:val="32"/>
          <w:szCs w:val="32"/>
          <w:highlight w:val="none"/>
        </w:rPr>
        <w:t>收</w:t>
      </w:r>
      <w:r>
        <w:rPr>
          <w:rStyle w:val="18"/>
          <w:rFonts w:hint="eastAsia" w:ascii="黑体" w:hAnsi="黑体" w:eastAsia="黑体"/>
          <w:b w:val="0"/>
          <w:color w:val="auto"/>
          <w:highlight w:val="none"/>
        </w:rPr>
        <w:t>入支出决算总体情况说明</w:t>
      </w:r>
      <w:bookmarkEnd w:id="26"/>
      <w:bookmarkEnd w:id="27"/>
      <w:bookmarkEnd w:id="28"/>
      <w:bookmarkEnd w:id="29"/>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val="en-US" w:eastAsia="zh-CN"/>
        </w:rPr>
        <w:t>2645.19</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年相比，收、支总计各减少</w:t>
      </w:r>
      <w:r>
        <w:rPr>
          <w:rFonts w:hint="eastAsia" w:ascii="仿宋" w:hAnsi="仿宋" w:eastAsia="仿宋"/>
          <w:color w:val="auto"/>
          <w:sz w:val="32"/>
          <w:szCs w:val="32"/>
          <w:highlight w:val="none"/>
          <w:lang w:val="en-US" w:eastAsia="zh-CN"/>
        </w:rPr>
        <w:t>290.42</w:t>
      </w:r>
      <w:r>
        <w:rPr>
          <w:rFonts w:hint="eastAsia" w:ascii="仿宋" w:hAnsi="仿宋" w:eastAsia="仿宋"/>
          <w:color w:val="auto"/>
          <w:sz w:val="32"/>
          <w:szCs w:val="32"/>
          <w:highlight w:val="none"/>
        </w:rPr>
        <w:t>万元，下降</w:t>
      </w:r>
      <w:r>
        <w:rPr>
          <w:rFonts w:hint="eastAsia" w:ascii="仿宋" w:hAnsi="仿宋" w:eastAsia="仿宋"/>
          <w:color w:val="auto"/>
          <w:sz w:val="32"/>
          <w:szCs w:val="32"/>
          <w:highlight w:val="none"/>
          <w:lang w:val="en-US" w:eastAsia="zh-CN"/>
        </w:rPr>
        <w:t>9.89</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2022年年初结转资金较2021年下降</w:t>
      </w:r>
      <w:r>
        <w:rPr>
          <w:rFonts w:hint="eastAsia" w:ascii="仿宋" w:hAnsi="仿宋" w:eastAsia="仿宋"/>
          <w:color w:val="auto"/>
          <w:sz w:val="32"/>
          <w:szCs w:val="32"/>
          <w:highlight w:val="none"/>
          <w:lang w:eastAsia="zh-CN"/>
        </w:rPr>
        <w:t>。</w:t>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：收、支决算总计变动情况图）（柱状图）</w:t>
      </w:r>
    </w:p>
    <w:p>
      <w:pPr>
        <w:pStyle w:val="2"/>
        <w:jc w:val="center"/>
        <w:rPr>
          <w:rFonts w:ascii="仿宋_GB2312" w:eastAsia="仿宋_GB2312"/>
          <w:color w:val="auto"/>
          <w:sz w:val="32"/>
          <w:szCs w:val="32"/>
          <w:highlight w:val="none"/>
        </w:rPr>
      </w:pPr>
      <w:r>
        <w:drawing>
          <wp:inline distT="0" distB="0" distL="114300" distR="114300">
            <wp:extent cx="3133090" cy="1894840"/>
            <wp:effectExtent l="4445" t="4445" r="5715" b="571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pStyle w:val="27"/>
        <w:numPr>
          <w:ilvl w:val="0"/>
          <w:numId w:val="1"/>
        </w:numPr>
        <w:spacing w:line="600" w:lineRule="exact"/>
        <w:ind w:firstLineChars="0"/>
        <w:outlineLvl w:val="1"/>
        <w:rPr>
          <w:rStyle w:val="18"/>
          <w:rFonts w:ascii="黑体" w:hAnsi="黑体" w:eastAsia="黑体"/>
          <w:b w:val="0"/>
          <w:color w:val="auto"/>
          <w:highlight w:val="none"/>
        </w:rPr>
      </w:pPr>
      <w:bookmarkStart w:id="30" w:name="_Toc670"/>
      <w:bookmarkStart w:id="31" w:name="_Toc15396604"/>
      <w:bookmarkStart w:id="32" w:name="_Toc1119673074_WPSOffice_Level2"/>
      <w:bookmarkStart w:id="33" w:name="_Toc15377206"/>
      <w:r>
        <w:rPr>
          <w:rFonts w:hint="eastAsia" w:ascii="黑体" w:hAnsi="黑体" w:eastAsia="黑体"/>
          <w:color w:val="auto"/>
          <w:sz w:val="32"/>
          <w:szCs w:val="32"/>
          <w:highlight w:val="none"/>
        </w:rPr>
        <w:t>收</w:t>
      </w:r>
      <w:r>
        <w:rPr>
          <w:rStyle w:val="18"/>
          <w:rFonts w:hint="eastAsia" w:ascii="黑体" w:hAnsi="黑体" w:eastAsia="黑体"/>
          <w:b w:val="0"/>
          <w:color w:val="auto"/>
          <w:highlight w:val="none"/>
        </w:rPr>
        <w:t>入决算情况说明</w:t>
      </w:r>
      <w:bookmarkEnd w:id="30"/>
      <w:bookmarkEnd w:id="31"/>
      <w:bookmarkEnd w:id="32"/>
      <w:bookmarkEnd w:id="33"/>
    </w:p>
    <w:p>
      <w:pPr>
        <w:spacing w:line="600" w:lineRule="exact"/>
        <w:ind w:firstLine="640" w:firstLineChars="200"/>
        <w:outlineLvl w:val="1"/>
        <w:rPr>
          <w:rFonts w:ascii="仿宋" w:hAnsi="仿宋" w:eastAsia="仿宋"/>
          <w:color w:val="auto"/>
          <w:sz w:val="32"/>
          <w:szCs w:val="32"/>
          <w:highlight w:val="none"/>
        </w:rPr>
      </w:pPr>
      <w:bookmarkStart w:id="34" w:name="_Toc25344"/>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2369.34</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2366.2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99.86</w:t>
      </w:r>
      <w:r>
        <w:rPr>
          <w:rFonts w:ascii="仿宋" w:hAnsi="仿宋" w:eastAsia="仿宋"/>
          <w:color w:val="auto"/>
          <w:sz w:val="32"/>
          <w:szCs w:val="32"/>
          <w:highlight w:val="none"/>
        </w:rPr>
        <w:t>%</w:t>
      </w:r>
      <w:r>
        <w:rPr>
          <w:rFonts w:hint="eastAsia" w:ascii="仿宋" w:hAnsi="仿宋" w:eastAsia="仿宋"/>
          <w:color w:val="auto"/>
          <w:sz w:val="32"/>
          <w:szCs w:val="32"/>
          <w:highlight w:val="none"/>
        </w:rPr>
        <w:t>；其他收入</w:t>
      </w:r>
      <w:r>
        <w:rPr>
          <w:rFonts w:hint="eastAsia" w:ascii="仿宋" w:hAnsi="仿宋" w:eastAsia="仿宋"/>
          <w:color w:val="auto"/>
          <w:sz w:val="32"/>
          <w:szCs w:val="32"/>
          <w:highlight w:val="none"/>
          <w:lang w:val="en-US" w:eastAsia="zh-CN"/>
        </w:rPr>
        <w:t>3.14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0.14</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4"/>
    </w:p>
    <w:p>
      <w:pPr>
        <w:spacing w:line="600" w:lineRule="exact"/>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（图2：收入决算结构图）（饼状图）</w:t>
      </w:r>
    </w:p>
    <w:p>
      <w:pPr>
        <w:pStyle w:val="2"/>
        <w:ind w:left="0" w:leftChars="0" w:firstLine="0" w:firstLineChars="0"/>
        <w:jc w:val="center"/>
        <w:rPr>
          <w:rFonts w:ascii="仿宋_GB2312" w:eastAsia="仿宋_GB2312"/>
          <w:color w:val="auto"/>
          <w:sz w:val="32"/>
          <w:szCs w:val="32"/>
          <w:highlight w:val="none"/>
        </w:rPr>
      </w:pPr>
      <w:r>
        <w:drawing>
          <wp:inline distT="0" distB="0" distL="114300" distR="114300">
            <wp:extent cx="3143885" cy="1865630"/>
            <wp:effectExtent l="5080" t="4445" r="13335" b="1587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pStyle w:val="27"/>
        <w:numPr>
          <w:ilvl w:val="0"/>
          <w:numId w:val="0"/>
        </w:numPr>
        <w:spacing w:line="600" w:lineRule="exact"/>
        <w:ind w:firstLine="640" w:firstLineChars="200"/>
        <w:outlineLvl w:val="1"/>
        <w:rPr>
          <w:rStyle w:val="18"/>
          <w:rFonts w:ascii="黑体" w:hAnsi="黑体" w:eastAsia="黑体"/>
          <w:b w:val="0"/>
          <w:color w:val="auto"/>
          <w:highlight w:val="none"/>
        </w:rPr>
      </w:pPr>
      <w:bookmarkStart w:id="35" w:name="_Toc10107"/>
      <w:bookmarkStart w:id="36" w:name="_Toc610050849_WPSOffice_Level2"/>
      <w:bookmarkStart w:id="37" w:name="_Toc15396605"/>
      <w:bookmarkStart w:id="38" w:name="_Toc15377207"/>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18"/>
          <w:rFonts w:hint="eastAsia" w:ascii="黑体" w:hAnsi="黑体" w:eastAsia="黑体"/>
          <w:b w:val="0"/>
          <w:color w:val="auto"/>
          <w:highlight w:val="none"/>
        </w:rPr>
        <w:t>出决算情况说明</w:t>
      </w:r>
      <w:bookmarkEnd w:id="35"/>
      <w:bookmarkEnd w:id="36"/>
      <w:bookmarkEnd w:id="37"/>
      <w:bookmarkEnd w:id="38"/>
    </w:p>
    <w:p>
      <w:pPr>
        <w:spacing w:line="600" w:lineRule="exact"/>
        <w:ind w:firstLine="640" w:firstLineChars="200"/>
        <w:outlineLvl w:val="1"/>
        <w:rPr>
          <w:rFonts w:ascii="仿宋" w:hAnsi="仿宋" w:eastAsia="仿宋"/>
          <w:color w:val="auto"/>
          <w:sz w:val="32"/>
          <w:szCs w:val="32"/>
          <w:highlight w:val="none"/>
          <w:shd w:val="pct10" w:color="auto" w:fill="FFFFFF"/>
        </w:rPr>
      </w:pPr>
      <w:bookmarkStart w:id="39" w:name="_Toc19282"/>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w:t>
      </w:r>
      <w:r>
        <w:rPr>
          <w:rFonts w:hint="eastAsia" w:ascii="仿宋" w:hAnsi="仿宋" w:eastAsia="仿宋"/>
          <w:color w:val="auto"/>
          <w:sz w:val="32"/>
          <w:szCs w:val="32"/>
          <w:highlight w:val="none"/>
          <w:lang w:val="en-US" w:eastAsia="zh-CN"/>
        </w:rPr>
        <w:t>2542.85</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1749.85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68.81</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793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31.19</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9"/>
    </w:p>
    <w:p>
      <w:pPr>
        <w:spacing w:line="600" w:lineRule="exact"/>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（图3：支出决算结构图）（饼状图）</w:t>
      </w:r>
    </w:p>
    <w:p>
      <w:pPr>
        <w:pStyle w:val="2"/>
        <w:jc w:val="center"/>
        <w:rPr>
          <w:rFonts w:ascii="仿宋_GB2312" w:eastAsia="仿宋_GB2312"/>
          <w:color w:val="auto"/>
          <w:sz w:val="32"/>
          <w:szCs w:val="32"/>
          <w:highlight w:val="none"/>
        </w:rPr>
      </w:pPr>
      <w:r>
        <w:drawing>
          <wp:inline distT="0" distB="0" distL="114300" distR="114300">
            <wp:extent cx="2930525" cy="1696720"/>
            <wp:effectExtent l="4445" t="4445" r="17780" b="13335"/>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600" w:lineRule="exact"/>
        <w:ind w:firstLine="640" w:firstLineChars="200"/>
        <w:outlineLvl w:val="1"/>
        <w:rPr>
          <w:rStyle w:val="18"/>
          <w:rFonts w:ascii="黑体" w:hAnsi="黑体" w:eastAsia="黑体"/>
          <w:b w:val="0"/>
          <w:color w:val="auto"/>
          <w:highlight w:val="none"/>
        </w:rPr>
      </w:pPr>
      <w:bookmarkStart w:id="40" w:name="_Toc15396606"/>
      <w:bookmarkStart w:id="41" w:name="_Toc1803391454_WPSOffice_Level2"/>
      <w:bookmarkStart w:id="42" w:name="_Toc15377208"/>
      <w:bookmarkStart w:id="43" w:name="_Toc25960"/>
      <w:r>
        <w:rPr>
          <w:rFonts w:hint="eastAsia" w:ascii="黑体" w:hAnsi="黑体" w:eastAsia="黑体"/>
          <w:color w:val="auto"/>
          <w:sz w:val="32"/>
          <w:szCs w:val="32"/>
          <w:highlight w:val="none"/>
        </w:rPr>
        <w:t>四、财</w:t>
      </w:r>
      <w:r>
        <w:rPr>
          <w:rStyle w:val="18"/>
          <w:rFonts w:hint="eastAsia" w:ascii="黑体" w:hAnsi="黑体" w:eastAsia="黑体"/>
          <w:b w:val="0"/>
          <w:color w:val="auto"/>
          <w:highlight w:val="none"/>
        </w:rPr>
        <w:t>政拨款收入支出决算总体情况说明</w:t>
      </w:r>
      <w:bookmarkEnd w:id="40"/>
      <w:bookmarkEnd w:id="41"/>
      <w:bookmarkEnd w:id="42"/>
      <w:bookmarkEnd w:id="43"/>
    </w:p>
    <w:p>
      <w:pPr>
        <w:spacing w:line="600" w:lineRule="exact"/>
        <w:ind w:firstLine="640"/>
        <w:rPr>
          <w:rFonts w:hint="eastAsia" w:ascii="仿宋_GB2312" w:hAnsi="仿宋_GB2312" w:eastAsia="仿宋_GB2312" w:cs="仿宋_GB2312"/>
          <w:color w:val="000000"/>
          <w:sz w:val="32"/>
          <w:szCs w:val="32"/>
          <w:lang w:val="en-US"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eastAsia" w:ascii="仿宋" w:hAnsi="仿宋" w:eastAsia="仿宋"/>
          <w:color w:val="auto"/>
          <w:sz w:val="32"/>
          <w:szCs w:val="32"/>
          <w:highlight w:val="none"/>
          <w:lang w:val="en-US" w:eastAsia="zh-CN"/>
        </w:rPr>
        <w:t>2580.72</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年相比，财政拨款收、支总计各减少</w:t>
      </w:r>
      <w:r>
        <w:rPr>
          <w:rFonts w:hint="eastAsia" w:ascii="仿宋" w:hAnsi="仿宋" w:eastAsia="仿宋"/>
          <w:color w:val="auto"/>
          <w:sz w:val="32"/>
          <w:szCs w:val="32"/>
          <w:highlight w:val="none"/>
          <w:lang w:val="en-US" w:eastAsia="zh-CN"/>
        </w:rPr>
        <w:t>288.49</w:t>
      </w:r>
      <w:r>
        <w:rPr>
          <w:rFonts w:hint="eastAsia" w:ascii="仿宋" w:hAnsi="仿宋" w:eastAsia="仿宋"/>
          <w:color w:val="auto"/>
          <w:sz w:val="32"/>
          <w:szCs w:val="32"/>
          <w:highlight w:val="none"/>
        </w:rPr>
        <w:t>万元，下降</w:t>
      </w:r>
      <w:r>
        <w:rPr>
          <w:rFonts w:hint="eastAsia" w:ascii="仿宋" w:hAnsi="仿宋" w:eastAsia="仿宋"/>
          <w:color w:val="auto"/>
          <w:sz w:val="32"/>
          <w:szCs w:val="32"/>
          <w:highlight w:val="none"/>
          <w:lang w:val="en-US" w:eastAsia="zh-CN"/>
        </w:rPr>
        <w:t>10.05</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年年初</w:t>
      </w:r>
      <w:r>
        <w:rPr>
          <w:rFonts w:hint="eastAsia" w:ascii="仿宋_GB2312" w:hAnsi="仿宋_GB2312" w:eastAsia="仿宋_GB2312" w:cs="仿宋_GB2312"/>
          <w:color w:val="000000"/>
          <w:sz w:val="32"/>
          <w:szCs w:val="32"/>
          <w:lang w:val="en-US" w:eastAsia="zh-CN"/>
        </w:rPr>
        <w:t>财政拨款</w:t>
      </w:r>
      <w:r>
        <w:rPr>
          <w:rFonts w:hint="eastAsia" w:ascii="仿宋_GB2312" w:hAnsi="仿宋_GB2312" w:eastAsia="仿宋_GB2312" w:cs="仿宋_GB2312"/>
          <w:color w:val="000000"/>
          <w:sz w:val="32"/>
          <w:szCs w:val="32"/>
        </w:rPr>
        <w:t>结转减少</w:t>
      </w:r>
      <w:r>
        <w:rPr>
          <w:rFonts w:hint="eastAsia" w:ascii="仿宋_GB2312" w:hAnsi="仿宋_GB2312" w:eastAsia="仿宋_GB2312" w:cs="仿宋_GB2312"/>
          <w:color w:val="000000"/>
          <w:sz w:val="32"/>
          <w:szCs w:val="32"/>
          <w:lang w:eastAsia="zh-CN"/>
        </w:rPr>
        <w:t>。</w:t>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（图4：财政拨款收、支决算总计变动情况）（柱状图）</w:t>
      </w:r>
    </w:p>
    <w:p>
      <w:pPr>
        <w:pStyle w:val="2"/>
        <w:ind w:left="0" w:leftChars="0" w:firstLine="0" w:firstLineChars="0"/>
        <w:jc w:val="center"/>
        <w:rPr>
          <w:rFonts w:ascii="仿宋" w:hAnsi="仿宋" w:eastAsia="仿宋"/>
          <w:b/>
          <w:color w:val="auto"/>
          <w:sz w:val="32"/>
          <w:szCs w:val="32"/>
          <w:highlight w:val="none"/>
        </w:rPr>
      </w:pPr>
      <w:r>
        <w:drawing>
          <wp:inline distT="0" distB="0" distL="114300" distR="114300">
            <wp:extent cx="3284855" cy="1859280"/>
            <wp:effectExtent l="4445" t="4445" r="6350" b="22225"/>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spacing w:line="600" w:lineRule="exact"/>
        <w:ind w:firstLine="640" w:firstLineChars="200"/>
        <w:outlineLvl w:val="1"/>
        <w:rPr>
          <w:rStyle w:val="18"/>
          <w:rFonts w:ascii="黑体" w:hAnsi="黑体" w:eastAsia="黑体"/>
          <w:b w:val="0"/>
          <w:color w:val="auto"/>
          <w:highlight w:val="none"/>
        </w:rPr>
      </w:pPr>
      <w:bookmarkStart w:id="44" w:name="_Toc15377209"/>
      <w:bookmarkStart w:id="45" w:name="_Toc1455153227_WPSOffice_Level2"/>
      <w:bookmarkStart w:id="46" w:name="_Toc14858"/>
      <w:bookmarkStart w:id="47" w:name="_Toc15396607"/>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8"/>
          <w:rFonts w:hint="eastAsia" w:ascii="黑体" w:hAnsi="黑体" w:eastAsia="黑体"/>
          <w:b w:val="0"/>
          <w:color w:val="auto"/>
          <w:highlight w:val="none"/>
        </w:rPr>
        <w:t>般公共预算财政拨款支出决算情况说明</w:t>
      </w:r>
      <w:bookmarkEnd w:id="44"/>
      <w:bookmarkEnd w:id="45"/>
      <w:bookmarkEnd w:id="46"/>
      <w:bookmarkEnd w:id="47"/>
    </w:p>
    <w:p>
      <w:pPr>
        <w:spacing w:line="600" w:lineRule="exact"/>
        <w:ind w:firstLine="642" w:firstLineChars="200"/>
        <w:outlineLvl w:val="2"/>
        <w:rPr>
          <w:rFonts w:ascii="仿宋" w:hAnsi="仿宋" w:eastAsia="仿宋"/>
          <w:b/>
          <w:color w:val="auto"/>
          <w:sz w:val="32"/>
          <w:szCs w:val="32"/>
          <w:highlight w:val="none"/>
        </w:rPr>
      </w:pPr>
      <w:bookmarkStart w:id="48" w:name="_Toc15377210"/>
      <w:r>
        <w:rPr>
          <w:rFonts w:hint="eastAsia" w:ascii="仿宋" w:hAnsi="仿宋" w:eastAsia="仿宋"/>
          <w:b/>
          <w:color w:val="auto"/>
          <w:sz w:val="32"/>
          <w:szCs w:val="32"/>
          <w:highlight w:val="none"/>
        </w:rPr>
        <w:t>（一）一般公共预算财政拨款支出决算总体情况</w:t>
      </w:r>
      <w:bookmarkEnd w:id="48"/>
    </w:p>
    <w:p>
      <w:pPr>
        <w:spacing w:line="600" w:lineRule="exact"/>
        <w:ind w:firstLine="640" w:firstLineChars="20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2523.14</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99.22</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减少</w:t>
      </w:r>
      <w:r>
        <w:rPr>
          <w:rFonts w:hint="eastAsia" w:ascii="仿宋" w:hAnsi="仿宋" w:eastAsia="仿宋"/>
          <w:color w:val="auto"/>
          <w:sz w:val="32"/>
          <w:szCs w:val="32"/>
          <w:highlight w:val="none"/>
          <w:lang w:val="en-US" w:eastAsia="zh-CN"/>
        </w:rPr>
        <w:t>131.11</w:t>
      </w:r>
      <w:r>
        <w:rPr>
          <w:rFonts w:hint="eastAsia" w:ascii="仿宋" w:hAnsi="仿宋" w:eastAsia="仿宋"/>
          <w:color w:val="auto"/>
          <w:sz w:val="32"/>
          <w:szCs w:val="32"/>
          <w:highlight w:val="none"/>
        </w:rPr>
        <w:t>万元，下降</w:t>
      </w:r>
      <w:r>
        <w:rPr>
          <w:rFonts w:hint="eastAsia" w:ascii="仿宋" w:hAnsi="仿宋" w:eastAsia="仿宋"/>
          <w:color w:val="auto"/>
          <w:sz w:val="32"/>
          <w:szCs w:val="32"/>
          <w:highlight w:val="none"/>
          <w:lang w:val="en-US" w:eastAsia="zh-CN"/>
        </w:rPr>
        <w:t>4.93</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年年初</w:t>
      </w:r>
      <w:r>
        <w:rPr>
          <w:rFonts w:hint="eastAsia" w:ascii="仿宋_GB2312" w:hAnsi="仿宋_GB2312" w:eastAsia="仿宋_GB2312" w:cs="仿宋_GB2312"/>
          <w:color w:val="000000"/>
          <w:sz w:val="32"/>
          <w:szCs w:val="32"/>
          <w:lang w:val="en-US" w:eastAsia="zh-CN"/>
        </w:rPr>
        <w:t>财政拨款</w:t>
      </w:r>
      <w:r>
        <w:rPr>
          <w:rFonts w:hint="eastAsia" w:ascii="仿宋_GB2312" w:hAnsi="仿宋_GB2312" w:eastAsia="仿宋_GB2312" w:cs="仿宋_GB2312"/>
          <w:color w:val="000000"/>
          <w:sz w:val="32"/>
          <w:szCs w:val="32"/>
        </w:rPr>
        <w:t>结转减少</w:t>
      </w:r>
      <w:r>
        <w:rPr>
          <w:rFonts w:hint="eastAsia" w:ascii="仿宋_GB2312" w:hAnsi="仿宋_GB2312" w:eastAsia="仿宋_GB2312" w:cs="仿宋_GB2312"/>
          <w:color w:val="000000"/>
          <w:sz w:val="32"/>
          <w:szCs w:val="32"/>
          <w:lang w:eastAsia="zh-CN"/>
        </w:rPr>
        <w:t>引起的支出降低。</w:t>
      </w:r>
    </w:p>
    <w:p>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（图5：一般公共预算财政拨款支出决算变动情况）（柱状图）</w:t>
      </w:r>
    </w:p>
    <w:p>
      <w:pPr>
        <w:pStyle w:val="2"/>
        <w:ind w:left="0" w:leftChars="0" w:firstLine="0" w:firstLineChars="0"/>
        <w:jc w:val="center"/>
        <w:rPr>
          <w:rFonts w:ascii="仿宋" w:hAnsi="仿宋" w:eastAsia="仿宋"/>
          <w:color w:val="auto"/>
          <w:sz w:val="32"/>
          <w:szCs w:val="32"/>
          <w:highlight w:val="none"/>
        </w:rPr>
      </w:pPr>
      <w:r>
        <w:drawing>
          <wp:inline distT="0" distB="0" distL="114300" distR="114300">
            <wp:extent cx="4285615" cy="2219325"/>
            <wp:effectExtent l="4445" t="4445" r="15240" b="5080"/>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pPr>
        <w:spacing w:line="600" w:lineRule="exact"/>
        <w:ind w:firstLine="642" w:firstLineChars="200"/>
        <w:outlineLvl w:val="2"/>
        <w:rPr>
          <w:rFonts w:ascii="仿宋" w:hAnsi="仿宋" w:eastAsia="仿宋"/>
          <w:b/>
          <w:color w:val="auto"/>
          <w:sz w:val="32"/>
          <w:szCs w:val="32"/>
          <w:highlight w:val="none"/>
        </w:rPr>
      </w:pPr>
      <w:bookmarkStart w:id="49" w:name="_Toc15377211"/>
      <w:r>
        <w:rPr>
          <w:rFonts w:hint="eastAsia" w:ascii="仿宋" w:hAnsi="仿宋" w:eastAsia="仿宋"/>
          <w:b/>
          <w:color w:val="auto"/>
          <w:sz w:val="32"/>
          <w:szCs w:val="32"/>
          <w:highlight w:val="none"/>
        </w:rPr>
        <w:t>（二）一般公共预算财政拨款支出决算结构情况</w:t>
      </w:r>
      <w:bookmarkEnd w:id="49"/>
    </w:p>
    <w:p>
      <w:pPr>
        <w:spacing w:line="600" w:lineRule="exact"/>
        <w:ind w:firstLine="640"/>
        <w:rPr>
          <w:rFonts w:hint="default" w:ascii="仿宋" w:hAnsi="仿宋" w:eastAsia="仿宋"/>
          <w:b/>
          <w:color w:val="auto"/>
          <w:sz w:val="32"/>
          <w:szCs w:val="32"/>
          <w:highlight w:val="none"/>
          <w:lang w:val="en-US"/>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2523.14</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一般公共服务</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2168.79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85.96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137.92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5.47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lang w:val="en-US" w:eastAsia="zh-CN"/>
        </w:rPr>
        <w:t>51.46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2.04</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color w:val="auto"/>
          <w:sz w:val="32"/>
          <w:szCs w:val="32"/>
          <w:highlight w:val="none"/>
          <w:lang w:val="en-US" w:eastAsia="zh-CN"/>
        </w:rPr>
        <w:t>135.17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5.35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i w:val="0"/>
          <w:iCs w:val="0"/>
          <w:color w:val="auto"/>
          <w:sz w:val="32"/>
          <w:szCs w:val="32"/>
          <w:highlight w:val="none"/>
          <w:lang w:eastAsia="zh-CN"/>
        </w:rPr>
        <w:t>其他支出</w:t>
      </w:r>
      <w:r>
        <w:rPr>
          <w:rFonts w:hint="eastAsia" w:ascii="仿宋" w:hAnsi="仿宋" w:eastAsia="仿宋"/>
          <w:color w:val="auto"/>
          <w:sz w:val="32"/>
          <w:szCs w:val="32"/>
          <w:highlight w:val="none"/>
          <w:lang w:val="en-US" w:eastAsia="zh-CN"/>
        </w:rPr>
        <w:t>29.8万元，占1.18%。</w:t>
      </w:r>
    </w:p>
    <w:p>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（图6：一般公共预算财政拨款支出决算结构）（饼状图）</w:t>
      </w:r>
    </w:p>
    <w:p>
      <w:pPr>
        <w:pStyle w:val="2"/>
        <w:jc w:val="center"/>
        <w:rPr>
          <w:rFonts w:ascii="仿宋" w:hAnsi="仿宋" w:eastAsia="仿宋"/>
          <w:color w:val="auto"/>
          <w:sz w:val="32"/>
          <w:szCs w:val="32"/>
          <w:highlight w:val="none"/>
        </w:rPr>
      </w:pPr>
      <w:r>
        <w:drawing>
          <wp:inline distT="0" distB="0" distL="114300" distR="114300">
            <wp:extent cx="3869055" cy="2272030"/>
            <wp:effectExtent l="4445" t="5080" r="12700" b="8890"/>
            <wp:docPr id="7"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pPr>
        <w:spacing w:line="600" w:lineRule="exact"/>
        <w:ind w:firstLine="642" w:firstLineChars="200"/>
        <w:outlineLvl w:val="2"/>
        <w:rPr>
          <w:rFonts w:ascii="仿宋" w:hAnsi="仿宋" w:eastAsia="仿宋"/>
          <w:b/>
          <w:color w:val="auto"/>
          <w:sz w:val="32"/>
          <w:szCs w:val="32"/>
          <w:highlight w:val="none"/>
        </w:rPr>
      </w:pPr>
      <w:bookmarkStart w:id="50" w:name="_Toc15377212"/>
      <w:r>
        <w:rPr>
          <w:rFonts w:hint="eastAsia" w:ascii="仿宋" w:hAnsi="仿宋" w:eastAsia="仿宋"/>
          <w:b/>
          <w:color w:val="auto"/>
          <w:sz w:val="32"/>
          <w:szCs w:val="32"/>
          <w:highlight w:val="none"/>
        </w:rPr>
        <w:t>（三）一般公共预算财政拨款支出决算具体情况</w:t>
      </w:r>
      <w:bookmarkEnd w:id="50"/>
    </w:p>
    <w:p>
      <w:pPr>
        <w:spacing w:line="600" w:lineRule="exact"/>
        <w:ind w:firstLine="642" w:firstLineChars="200"/>
        <w:outlineLvl w:val="1"/>
        <w:rPr>
          <w:rFonts w:ascii="仿宋" w:hAnsi="仿宋" w:eastAsia="仿宋"/>
          <w:color w:val="auto"/>
          <w:sz w:val="32"/>
          <w:szCs w:val="32"/>
          <w:highlight w:val="none"/>
        </w:rPr>
      </w:pPr>
      <w:bookmarkStart w:id="51" w:name="_Toc30822"/>
      <w:bookmarkStart w:id="52" w:name="_Toc15377213"/>
      <w:bookmarkStart w:id="53" w:name="_Toc15377444"/>
      <w:bookmarkStart w:id="54" w:name="_Toc15378460"/>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2523.14</w:t>
      </w:r>
      <w:r>
        <w:rPr>
          <w:rFonts w:hint="eastAsia" w:ascii="仿宋" w:hAnsi="仿宋" w:eastAsia="仿宋"/>
          <w:color w:val="auto"/>
          <w:sz w:val="32"/>
          <w:szCs w:val="32"/>
          <w:highlight w:val="none"/>
        </w:rPr>
        <w:t>，</w:t>
      </w:r>
      <w:r>
        <w:rPr>
          <w:rStyle w:val="15"/>
          <w:rFonts w:hint="eastAsia" w:ascii="仿宋" w:hAnsi="仿宋" w:eastAsia="仿宋"/>
          <w:bCs/>
          <w:color w:val="auto"/>
          <w:sz w:val="32"/>
          <w:szCs w:val="32"/>
          <w:highlight w:val="none"/>
        </w:rPr>
        <w:t>完成预算</w:t>
      </w:r>
      <w:r>
        <w:rPr>
          <w:rStyle w:val="15"/>
          <w:rFonts w:hint="eastAsia" w:ascii="仿宋" w:hAnsi="仿宋" w:eastAsia="仿宋"/>
          <w:bCs/>
          <w:color w:val="auto"/>
          <w:sz w:val="32"/>
          <w:szCs w:val="32"/>
          <w:highlight w:val="none"/>
          <w:lang w:val="en-US" w:eastAsia="zh-CN"/>
        </w:rPr>
        <w:t>97.77</w:t>
      </w:r>
      <w:r>
        <w:rPr>
          <w:rStyle w:val="15"/>
          <w:rFonts w:ascii="仿宋" w:hAnsi="仿宋" w:eastAsia="仿宋"/>
          <w:bCs/>
          <w:color w:val="auto"/>
          <w:sz w:val="32"/>
          <w:szCs w:val="32"/>
          <w:highlight w:val="none"/>
        </w:rPr>
        <w:t>%</w:t>
      </w:r>
      <w:r>
        <w:rPr>
          <w:rStyle w:val="15"/>
          <w:rFonts w:hint="eastAsia" w:ascii="仿宋" w:hAnsi="仿宋" w:eastAsia="仿宋"/>
          <w:bCs/>
          <w:color w:val="auto"/>
          <w:sz w:val="32"/>
          <w:szCs w:val="32"/>
          <w:highlight w:val="none"/>
        </w:rPr>
        <w:t>。其中：</w:t>
      </w:r>
      <w:bookmarkEnd w:id="51"/>
      <w:bookmarkEnd w:id="52"/>
      <w:bookmarkEnd w:id="53"/>
      <w:bookmarkEnd w:id="54"/>
    </w:p>
    <w:p>
      <w:pPr>
        <w:numPr>
          <w:ilvl w:val="0"/>
          <w:numId w:val="0"/>
        </w:numPr>
        <w:spacing w:line="600" w:lineRule="exact"/>
        <w:ind w:firstLine="642" w:firstLineChars="200"/>
        <w:rPr>
          <w:rStyle w:val="15"/>
          <w:rFonts w:hint="eastAsia" w:ascii="仿宋" w:hAnsi="仿宋" w:eastAsia="仿宋"/>
          <w:b w:val="0"/>
          <w:bCs/>
          <w:color w:val="auto"/>
          <w:sz w:val="32"/>
          <w:szCs w:val="32"/>
          <w:highlight w:val="none"/>
        </w:rPr>
      </w:pPr>
      <w:r>
        <w:rPr>
          <w:rStyle w:val="15"/>
          <w:rFonts w:hint="eastAsia" w:ascii="仿宋" w:hAnsi="仿宋" w:eastAsia="仿宋"/>
          <w:bCs/>
          <w:color w:val="auto"/>
          <w:sz w:val="32"/>
          <w:szCs w:val="32"/>
          <w:highlight w:val="none"/>
          <w:lang w:val="en-US" w:eastAsia="zh-CN"/>
        </w:rPr>
        <w:t>1.</w:t>
      </w:r>
      <w:r>
        <w:rPr>
          <w:rStyle w:val="15"/>
          <w:rFonts w:hint="eastAsia" w:ascii="仿宋" w:hAnsi="仿宋" w:eastAsia="仿宋"/>
          <w:bCs/>
          <w:color w:val="auto"/>
          <w:sz w:val="32"/>
          <w:szCs w:val="32"/>
          <w:highlight w:val="none"/>
        </w:rPr>
        <w:t>一般公共服务（类）</w:t>
      </w:r>
      <w:r>
        <w:rPr>
          <w:rStyle w:val="15"/>
          <w:rFonts w:hint="eastAsia" w:ascii="仿宋" w:hAnsi="仿宋" w:eastAsia="仿宋"/>
          <w:bCs/>
          <w:color w:val="auto"/>
          <w:sz w:val="32"/>
          <w:szCs w:val="32"/>
          <w:highlight w:val="none"/>
          <w:lang w:eastAsia="zh-CN"/>
        </w:rPr>
        <w:t>财政事务</w:t>
      </w:r>
      <w:r>
        <w:rPr>
          <w:rStyle w:val="15"/>
          <w:rFonts w:hint="eastAsia" w:ascii="仿宋" w:hAnsi="仿宋" w:eastAsia="仿宋"/>
          <w:bCs/>
          <w:color w:val="auto"/>
          <w:sz w:val="32"/>
          <w:szCs w:val="32"/>
          <w:highlight w:val="none"/>
        </w:rPr>
        <w:t>（款）</w:t>
      </w:r>
      <w:r>
        <w:rPr>
          <w:rStyle w:val="15"/>
          <w:rFonts w:hint="eastAsia" w:ascii="仿宋" w:hAnsi="仿宋" w:eastAsia="仿宋"/>
          <w:bCs/>
          <w:color w:val="auto"/>
          <w:sz w:val="32"/>
          <w:szCs w:val="32"/>
          <w:highlight w:val="none"/>
          <w:lang w:eastAsia="zh-CN"/>
        </w:rPr>
        <w:t>行政运行</w:t>
      </w:r>
      <w:r>
        <w:rPr>
          <w:rStyle w:val="15"/>
          <w:rFonts w:hint="eastAsia" w:ascii="仿宋" w:hAnsi="仿宋" w:eastAsia="仿宋"/>
          <w:bCs/>
          <w:color w:val="auto"/>
          <w:sz w:val="32"/>
          <w:szCs w:val="32"/>
          <w:highlight w:val="none"/>
        </w:rPr>
        <w:t>（项）</w:t>
      </w:r>
      <w:r>
        <w:rPr>
          <w:rStyle w:val="15"/>
          <w:rFonts w:ascii="仿宋" w:hAnsi="仿宋" w:eastAsia="仿宋"/>
          <w:bCs/>
          <w:color w:val="auto"/>
          <w:sz w:val="32"/>
          <w:szCs w:val="32"/>
          <w:highlight w:val="none"/>
        </w:rPr>
        <w:t>:</w:t>
      </w:r>
      <w:r>
        <w:rPr>
          <w:rStyle w:val="15"/>
          <w:rFonts w:ascii="仿宋" w:hAnsi="仿宋" w:eastAsia="仿宋"/>
          <w:b w:val="0"/>
          <w:bCs/>
          <w:color w:val="auto"/>
          <w:sz w:val="32"/>
          <w:szCs w:val="32"/>
          <w:highlight w:val="none"/>
        </w:rPr>
        <w:t xml:space="preserve"> </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1346.24</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98.55</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，决算数小于预算数的主要原因是</w:t>
      </w:r>
      <w:r>
        <w:rPr>
          <w:rStyle w:val="15"/>
          <w:rFonts w:hint="eastAsia" w:ascii="仿宋" w:hAnsi="仿宋" w:eastAsia="仿宋"/>
          <w:b w:val="0"/>
          <w:bCs/>
          <w:color w:val="auto"/>
          <w:sz w:val="32"/>
          <w:szCs w:val="32"/>
          <w:highlight w:val="none"/>
          <w:lang w:eastAsia="zh-CN"/>
        </w:rPr>
        <w:t>当年部分公积金及保险需结转到</w:t>
      </w:r>
      <w:r>
        <w:rPr>
          <w:rStyle w:val="15"/>
          <w:rFonts w:hint="eastAsia" w:ascii="仿宋" w:hAnsi="仿宋" w:eastAsia="仿宋"/>
          <w:b w:val="0"/>
          <w:bCs/>
          <w:color w:val="auto"/>
          <w:sz w:val="32"/>
          <w:szCs w:val="32"/>
          <w:highlight w:val="none"/>
          <w:lang w:val="en-US" w:eastAsia="zh-CN"/>
        </w:rPr>
        <w:t>2023年支出</w:t>
      </w:r>
      <w:r>
        <w:rPr>
          <w:rStyle w:val="15"/>
          <w:rFonts w:hint="eastAsia" w:ascii="仿宋" w:hAnsi="仿宋" w:eastAsia="仿宋"/>
          <w:b w:val="0"/>
          <w:bCs/>
          <w:color w:val="auto"/>
          <w:sz w:val="32"/>
          <w:szCs w:val="32"/>
          <w:highlight w:val="none"/>
        </w:rPr>
        <w:t>。</w:t>
      </w:r>
    </w:p>
    <w:p>
      <w:pPr>
        <w:keepNext w:val="0"/>
        <w:keepLines w:val="0"/>
        <w:pageBreakBefore w:val="0"/>
        <w:widowControl w:val="0"/>
        <w:kinsoku/>
        <w:wordWrap/>
        <w:overflowPunct/>
        <w:topLinePunct w:val="0"/>
        <w:bidi w:val="0"/>
        <w:spacing w:line="576" w:lineRule="exact"/>
        <w:ind w:firstLine="642" w:firstLineChars="200"/>
        <w:rPr>
          <w:rStyle w:val="15"/>
          <w:rFonts w:hint="eastAsia" w:ascii="仿宋_GB2312" w:hAnsi="仿宋_GB2312" w:eastAsia="仿宋_GB2312" w:cs="仿宋_GB2312"/>
          <w:b w:val="0"/>
          <w:bCs/>
          <w:color w:val="auto"/>
          <w:sz w:val="32"/>
          <w:szCs w:val="32"/>
          <w:highlight w:val="none"/>
        </w:rPr>
      </w:pPr>
      <w:r>
        <w:rPr>
          <w:rStyle w:val="15"/>
          <w:rFonts w:hint="eastAsia" w:ascii="仿宋_GB2312" w:hAnsi="仿宋_GB2312" w:eastAsia="仿宋_GB2312" w:cs="仿宋_GB2312"/>
          <w:bCs/>
          <w:color w:val="auto"/>
          <w:sz w:val="32"/>
          <w:szCs w:val="32"/>
          <w:highlight w:val="none"/>
          <w:lang w:val="en-US" w:eastAsia="zh-CN"/>
        </w:rPr>
        <w:t>2.</w:t>
      </w:r>
      <w:r>
        <w:rPr>
          <w:rStyle w:val="15"/>
          <w:rFonts w:hint="eastAsia" w:ascii="仿宋_GB2312" w:hAnsi="仿宋_GB2312" w:eastAsia="仿宋_GB2312" w:cs="仿宋_GB2312"/>
          <w:bCs/>
          <w:color w:val="auto"/>
          <w:sz w:val="32"/>
          <w:szCs w:val="32"/>
          <w:highlight w:val="none"/>
        </w:rPr>
        <w:t>一般公共服务（类）</w:t>
      </w:r>
      <w:r>
        <w:rPr>
          <w:rStyle w:val="15"/>
          <w:rFonts w:hint="eastAsia" w:ascii="仿宋_GB2312" w:hAnsi="仿宋_GB2312" w:eastAsia="仿宋_GB2312" w:cs="仿宋_GB2312"/>
          <w:bCs/>
          <w:color w:val="auto"/>
          <w:sz w:val="32"/>
          <w:szCs w:val="32"/>
          <w:highlight w:val="none"/>
          <w:lang w:val="en-US" w:eastAsia="zh-CN"/>
        </w:rPr>
        <w:t>财政事务</w:t>
      </w:r>
      <w:r>
        <w:rPr>
          <w:rStyle w:val="15"/>
          <w:rFonts w:hint="eastAsia" w:ascii="仿宋_GB2312" w:hAnsi="仿宋_GB2312" w:eastAsia="仿宋_GB2312" w:cs="仿宋_GB2312"/>
          <w:bCs/>
          <w:color w:val="auto"/>
          <w:sz w:val="32"/>
          <w:szCs w:val="32"/>
          <w:highlight w:val="none"/>
        </w:rPr>
        <w:t>（款）</w:t>
      </w:r>
      <w:r>
        <w:rPr>
          <w:rStyle w:val="15"/>
          <w:rFonts w:hint="eastAsia" w:ascii="仿宋_GB2312" w:hAnsi="仿宋_GB2312" w:eastAsia="仿宋_GB2312" w:cs="仿宋_GB2312"/>
          <w:bCs/>
          <w:color w:val="auto"/>
          <w:sz w:val="32"/>
          <w:szCs w:val="32"/>
          <w:highlight w:val="none"/>
          <w:lang w:val="en-US" w:eastAsia="zh-CN"/>
        </w:rPr>
        <w:t>一般行政管理事务</w:t>
      </w:r>
      <w:r>
        <w:rPr>
          <w:rStyle w:val="15"/>
          <w:rFonts w:hint="eastAsia" w:ascii="仿宋_GB2312" w:hAnsi="仿宋_GB2312" w:eastAsia="仿宋_GB2312" w:cs="仿宋_GB2312"/>
          <w:bCs/>
          <w:color w:val="auto"/>
          <w:sz w:val="32"/>
          <w:szCs w:val="32"/>
          <w:highlight w:val="none"/>
        </w:rPr>
        <w:t>（项）:</w:t>
      </w:r>
      <w:r>
        <w:rPr>
          <w:rStyle w:val="15"/>
          <w:rFonts w:hint="eastAsia" w:ascii="仿宋_GB2312" w:hAnsi="仿宋_GB2312" w:eastAsia="仿宋_GB2312" w:cs="仿宋_GB2312"/>
          <w:b w:val="0"/>
          <w:bCs/>
          <w:color w:val="auto"/>
          <w:sz w:val="32"/>
          <w:szCs w:val="32"/>
          <w:highlight w:val="none"/>
        </w:rPr>
        <w:t xml:space="preserve"> 支出决算为</w:t>
      </w:r>
      <w:r>
        <w:rPr>
          <w:rStyle w:val="15"/>
          <w:rFonts w:hint="eastAsia" w:ascii="仿宋_GB2312" w:hAnsi="仿宋_GB2312" w:eastAsia="仿宋_GB2312" w:cs="仿宋_GB2312"/>
          <w:b w:val="0"/>
          <w:bCs/>
          <w:color w:val="auto"/>
          <w:sz w:val="32"/>
          <w:szCs w:val="32"/>
          <w:highlight w:val="none"/>
          <w:lang w:val="en-US" w:eastAsia="zh-CN"/>
        </w:rPr>
        <w:t>504.46</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93.02</w:t>
      </w:r>
      <w:r>
        <w:rPr>
          <w:rStyle w:val="15"/>
          <w:rFonts w:hint="eastAsia" w:ascii="仿宋_GB2312" w:hAnsi="仿宋_GB2312" w:eastAsia="仿宋_GB2312" w:cs="仿宋_GB2312"/>
          <w:b w:val="0"/>
          <w:bCs/>
          <w:color w:val="auto"/>
          <w:sz w:val="32"/>
          <w:szCs w:val="32"/>
          <w:highlight w:val="none"/>
        </w:rPr>
        <w:t>%，决算数小于预算数的主要原因是</w:t>
      </w:r>
      <w:r>
        <w:rPr>
          <w:rStyle w:val="15"/>
          <w:rFonts w:hint="eastAsia" w:ascii="仿宋_GB2312" w:hAnsi="仿宋_GB2312" w:eastAsia="仿宋_GB2312" w:cs="仿宋_GB2312"/>
          <w:b w:val="0"/>
          <w:bCs/>
          <w:color w:val="000000"/>
          <w:sz w:val="32"/>
          <w:szCs w:val="32"/>
        </w:rPr>
        <w:t>部分项目支出202</w:t>
      </w:r>
      <w:r>
        <w:rPr>
          <w:rStyle w:val="15"/>
          <w:rFonts w:hint="eastAsia" w:ascii="仿宋_GB2312" w:hAnsi="仿宋_GB2312" w:eastAsia="仿宋_GB2312" w:cs="仿宋_GB2312"/>
          <w:b w:val="0"/>
          <w:bCs/>
          <w:color w:val="000000"/>
          <w:sz w:val="32"/>
          <w:szCs w:val="32"/>
          <w:lang w:val="en-US" w:eastAsia="zh-CN"/>
        </w:rPr>
        <w:t>2</w:t>
      </w:r>
      <w:r>
        <w:rPr>
          <w:rStyle w:val="15"/>
          <w:rFonts w:hint="eastAsia" w:ascii="仿宋_GB2312" w:hAnsi="仿宋_GB2312" w:eastAsia="仿宋_GB2312" w:cs="仿宋_GB2312"/>
          <w:b w:val="0"/>
          <w:bCs/>
          <w:color w:val="000000"/>
          <w:sz w:val="32"/>
          <w:szCs w:val="32"/>
        </w:rPr>
        <w:t>年尚未完成，202</w:t>
      </w:r>
      <w:r>
        <w:rPr>
          <w:rStyle w:val="15"/>
          <w:rFonts w:hint="eastAsia" w:ascii="仿宋_GB2312" w:hAnsi="仿宋_GB2312" w:eastAsia="仿宋_GB2312" w:cs="仿宋_GB2312"/>
          <w:b w:val="0"/>
          <w:bCs/>
          <w:color w:val="000000"/>
          <w:sz w:val="32"/>
          <w:szCs w:val="32"/>
          <w:lang w:val="en-US" w:eastAsia="zh-CN"/>
        </w:rPr>
        <w:t>3</w:t>
      </w:r>
      <w:r>
        <w:rPr>
          <w:rStyle w:val="15"/>
          <w:rFonts w:hint="eastAsia" w:ascii="仿宋_GB2312" w:hAnsi="仿宋_GB2312" w:eastAsia="仿宋_GB2312" w:cs="仿宋_GB2312"/>
          <w:b w:val="0"/>
          <w:bCs/>
          <w:color w:val="000000"/>
          <w:sz w:val="32"/>
          <w:szCs w:val="32"/>
        </w:rPr>
        <w:t>年还将继续实施</w:t>
      </w:r>
      <w:r>
        <w:rPr>
          <w:rStyle w:val="15"/>
          <w:rFonts w:hint="eastAsia" w:ascii="仿宋_GB2312" w:hAnsi="仿宋_GB2312" w:eastAsia="仿宋_GB2312" w:cs="仿宋_GB2312"/>
          <w:b w:val="0"/>
          <w:bCs/>
          <w:color w:val="auto"/>
          <w:sz w:val="32"/>
          <w:szCs w:val="32"/>
          <w:highlight w:val="none"/>
        </w:rPr>
        <w:t>。</w:t>
      </w:r>
    </w:p>
    <w:p>
      <w:pPr>
        <w:keepNext w:val="0"/>
        <w:keepLines w:val="0"/>
        <w:pageBreakBefore w:val="0"/>
        <w:widowControl w:val="0"/>
        <w:kinsoku/>
        <w:wordWrap/>
        <w:overflowPunct/>
        <w:topLinePunct w:val="0"/>
        <w:bidi w:val="0"/>
        <w:spacing w:line="600" w:lineRule="exact"/>
        <w:ind w:firstLine="642" w:firstLineChars="200"/>
        <w:rPr>
          <w:rFonts w:hint="eastAsia" w:ascii="仿宋_GB2312" w:hAnsi="仿宋_GB2312" w:eastAsia="仿宋_GB2312" w:cs="仿宋_GB2312"/>
          <w:b/>
          <w:color w:val="auto"/>
          <w:sz w:val="32"/>
          <w:szCs w:val="32"/>
          <w:highlight w:val="none"/>
        </w:rPr>
      </w:pPr>
      <w:r>
        <w:rPr>
          <w:rStyle w:val="15"/>
          <w:rFonts w:hint="eastAsia" w:ascii="仿宋_GB2312" w:hAnsi="仿宋_GB2312" w:eastAsia="仿宋_GB2312" w:cs="仿宋_GB2312"/>
          <w:bCs/>
          <w:color w:val="auto"/>
          <w:sz w:val="32"/>
          <w:szCs w:val="32"/>
          <w:highlight w:val="none"/>
          <w:lang w:val="en-US" w:eastAsia="zh-CN"/>
        </w:rPr>
        <w:t>3</w:t>
      </w:r>
      <w:r>
        <w:rPr>
          <w:rStyle w:val="15"/>
          <w:rFonts w:hint="eastAsia" w:ascii="仿宋_GB2312" w:hAnsi="仿宋_GB2312" w:eastAsia="仿宋_GB2312" w:cs="仿宋_GB2312"/>
          <w:bCs/>
          <w:color w:val="auto"/>
          <w:sz w:val="32"/>
          <w:szCs w:val="32"/>
          <w:highlight w:val="none"/>
        </w:rPr>
        <w:t>.一般公共服务（类）</w:t>
      </w:r>
      <w:r>
        <w:rPr>
          <w:rStyle w:val="15"/>
          <w:rFonts w:hint="eastAsia" w:ascii="仿宋_GB2312" w:hAnsi="仿宋_GB2312" w:eastAsia="仿宋_GB2312" w:cs="仿宋_GB2312"/>
          <w:bCs/>
          <w:color w:val="auto"/>
          <w:sz w:val="32"/>
          <w:szCs w:val="32"/>
          <w:highlight w:val="none"/>
          <w:lang w:val="en-US" w:eastAsia="zh-CN"/>
        </w:rPr>
        <w:t>财政事务</w:t>
      </w:r>
      <w:r>
        <w:rPr>
          <w:rStyle w:val="15"/>
          <w:rFonts w:hint="eastAsia" w:ascii="仿宋_GB2312" w:hAnsi="仿宋_GB2312" w:eastAsia="仿宋_GB2312" w:cs="仿宋_GB2312"/>
          <w:bCs/>
          <w:color w:val="auto"/>
          <w:sz w:val="32"/>
          <w:szCs w:val="32"/>
          <w:highlight w:val="none"/>
        </w:rPr>
        <w:t>（款）</w:t>
      </w:r>
      <w:r>
        <w:rPr>
          <w:rStyle w:val="15"/>
          <w:rFonts w:hint="eastAsia" w:ascii="仿宋_GB2312" w:hAnsi="仿宋_GB2312" w:eastAsia="仿宋_GB2312" w:cs="仿宋_GB2312"/>
          <w:bCs/>
          <w:color w:val="auto"/>
          <w:sz w:val="32"/>
          <w:szCs w:val="32"/>
          <w:highlight w:val="none"/>
          <w:lang w:val="en-US" w:eastAsia="zh-CN"/>
        </w:rPr>
        <w:t>机关服务</w:t>
      </w:r>
      <w:r>
        <w:rPr>
          <w:rStyle w:val="15"/>
          <w:rFonts w:hint="eastAsia" w:ascii="仿宋_GB2312" w:hAnsi="仿宋_GB2312" w:eastAsia="仿宋_GB2312" w:cs="仿宋_GB2312"/>
          <w:bCs/>
          <w:color w:val="auto"/>
          <w:sz w:val="32"/>
          <w:szCs w:val="32"/>
          <w:highlight w:val="none"/>
        </w:rPr>
        <w:t>（项）:</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66.02</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%，决算数</w:t>
      </w:r>
      <w:r>
        <w:rPr>
          <w:rStyle w:val="15"/>
          <w:rFonts w:hint="eastAsia" w:ascii="仿宋_GB2312" w:hAnsi="仿宋_GB2312" w:eastAsia="仿宋_GB2312" w:cs="仿宋_GB2312"/>
          <w:b w:val="0"/>
          <w:bCs/>
          <w:color w:val="auto"/>
          <w:sz w:val="32"/>
          <w:szCs w:val="32"/>
          <w:highlight w:val="none"/>
          <w:lang w:val="en-US" w:eastAsia="zh-CN"/>
        </w:rPr>
        <w:t>与</w:t>
      </w:r>
      <w:r>
        <w:rPr>
          <w:rStyle w:val="15"/>
          <w:rFonts w:hint="eastAsia" w:ascii="仿宋_GB2312" w:hAnsi="仿宋_GB2312" w:eastAsia="仿宋_GB2312" w:cs="仿宋_GB2312"/>
          <w:b w:val="0"/>
          <w:bCs/>
          <w:color w:val="auto"/>
          <w:sz w:val="32"/>
          <w:szCs w:val="32"/>
          <w:highlight w:val="none"/>
        </w:rPr>
        <w:t>预算数</w:t>
      </w:r>
      <w:r>
        <w:rPr>
          <w:rStyle w:val="15"/>
          <w:rFonts w:hint="eastAsia" w:ascii="仿宋_GB2312" w:hAnsi="仿宋_GB2312" w:eastAsia="仿宋_GB2312" w:cs="仿宋_GB2312"/>
          <w:b w:val="0"/>
          <w:bCs/>
          <w:color w:val="auto"/>
          <w:sz w:val="32"/>
          <w:szCs w:val="32"/>
          <w:highlight w:val="none"/>
          <w:lang w:val="en-US" w:eastAsia="zh-CN"/>
        </w:rPr>
        <w:t>持平</w:t>
      </w:r>
      <w:r>
        <w:rPr>
          <w:rStyle w:val="15"/>
          <w:rFonts w:hint="eastAsia" w:ascii="仿宋_GB2312" w:hAnsi="仿宋_GB2312" w:eastAsia="仿宋_GB2312" w:cs="仿宋_GB2312"/>
          <w:b w:val="0"/>
          <w:bCs/>
          <w:color w:val="auto"/>
          <w:sz w:val="32"/>
          <w:szCs w:val="32"/>
          <w:highlight w:val="none"/>
        </w:rPr>
        <w:t>。</w:t>
      </w:r>
    </w:p>
    <w:p>
      <w:pPr>
        <w:keepNext w:val="0"/>
        <w:keepLines w:val="0"/>
        <w:pageBreakBefore w:val="0"/>
        <w:widowControl w:val="0"/>
        <w:kinsoku/>
        <w:wordWrap/>
        <w:overflowPunct/>
        <w:topLinePunct w:val="0"/>
        <w:bidi w:val="0"/>
        <w:spacing w:line="600" w:lineRule="exact"/>
        <w:ind w:firstLine="642" w:firstLineChars="200"/>
        <w:rPr>
          <w:rFonts w:hint="eastAsia" w:ascii="仿宋_GB2312" w:hAnsi="仿宋_GB2312" w:eastAsia="仿宋_GB2312" w:cs="仿宋_GB2312"/>
          <w:b/>
          <w:color w:val="auto"/>
          <w:sz w:val="32"/>
          <w:szCs w:val="32"/>
          <w:highlight w:val="none"/>
        </w:rPr>
      </w:pPr>
      <w:r>
        <w:rPr>
          <w:rStyle w:val="15"/>
          <w:rFonts w:hint="eastAsia" w:ascii="仿宋_GB2312" w:hAnsi="仿宋_GB2312" w:eastAsia="仿宋_GB2312" w:cs="仿宋_GB2312"/>
          <w:bCs/>
          <w:color w:val="auto"/>
          <w:sz w:val="32"/>
          <w:szCs w:val="32"/>
          <w:highlight w:val="none"/>
          <w:lang w:val="en-US" w:eastAsia="zh-CN"/>
        </w:rPr>
        <w:t>4</w:t>
      </w:r>
      <w:r>
        <w:rPr>
          <w:rStyle w:val="15"/>
          <w:rFonts w:hint="eastAsia" w:ascii="仿宋_GB2312" w:hAnsi="仿宋_GB2312" w:eastAsia="仿宋_GB2312" w:cs="仿宋_GB2312"/>
          <w:bCs/>
          <w:color w:val="auto"/>
          <w:sz w:val="32"/>
          <w:szCs w:val="32"/>
          <w:highlight w:val="none"/>
        </w:rPr>
        <w:t>.一般公共服务（类）</w:t>
      </w:r>
      <w:r>
        <w:rPr>
          <w:rStyle w:val="15"/>
          <w:rFonts w:hint="eastAsia" w:ascii="仿宋_GB2312" w:hAnsi="仿宋_GB2312" w:eastAsia="仿宋_GB2312" w:cs="仿宋_GB2312"/>
          <w:bCs/>
          <w:color w:val="auto"/>
          <w:sz w:val="32"/>
          <w:szCs w:val="32"/>
          <w:highlight w:val="none"/>
          <w:lang w:val="en-US" w:eastAsia="zh-CN"/>
        </w:rPr>
        <w:t>财政事务</w:t>
      </w:r>
      <w:r>
        <w:rPr>
          <w:rStyle w:val="15"/>
          <w:rFonts w:hint="eastAsia" w:ascii="仿宋_GB2312" w:hAnsi="仿宋_GB2312" w:eastAsia="仿宋_GB2312" w:cs="仿宋_GB2312"/>
          <w:bCs/>
          <w:color w:val="auto"/>
          <w:sz w:val="32"/>
          <w:szCs w:val="32"/>
          <w:highlight w:val="none"/>
        </w:rPr>
        <w:t>（款）</w:t>
      </w:r>
      <w:r>
        <w:rPr>
          <w:rStyle w:val="15"/>
          <w:rFonts w:hint="eastAsia" w:ascii="仿宋_GB2312" w:hAnsi="仿宋_GB2312" w:eastAsia="仿宋_GB2312" w:cs="仿宋_GB2312"/>
          <w:bCs/>
          <w:color w:val="auto"/>
          <w:sz w:val="32"/>
          <w:szCs w:val="32"/>
          <w:highlight w:val="none"/>
          <w:lang w:val="en-US" w:eastAsia="zh-CN"/>
        </w:rPr>
        <w:t>财政委托业务支出</w:t>
      </w:r>
      <w:r>
        <w:rPr>
          <w:rStyle w:val="15"/>
          <w:rFonts w:hint="eastAsia" w:ascii="仿宋_GB2312" w:hAnsi="仿宋_GB2312" w:eastAsia="仿宋_GB2312" w:cs="仿宋_GB2312"/>
          <w:bCs/>
          <w:color w:val="auto"/>
          <w:sz w:val="32"/>
          <w:szCs w:val="32"/>
          <w:highlight w:val="none"/>
        </w:rPr>
        <w:t>（项）:</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99.25</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%，决算数</w:t>
      </w:r>
      <w:r>
        <w:rPr>
          <w:rStyle w:val="15"/>
          <w:rFonts w:hint="eastAsia" w:ascii="仿宋_GB2312" w:hAnsi="仿宋_GB2312" w:eastAsia="仿宋_GB2312" w:cs="仿宋_GB2312"/>
          <w:b w:val="0"/>
          <w:bCs/>
          <w:color w:val="auto"/>
          <w:sz w:val="32"/>
          <w:szCs w:val="32"/>
          <w:highlight w:val="none"/>
          <w:lang w:val="en-US" w:eastAsia="zh-CN"/>
        </w:rPr>
        <w:t>与</w:t>
      </w:r>
      <w:r>
        <w:rPr>
          <w:rStyle w:val="15"/>
          <w:rFonts w:hint="eastAsia" w:ascii="仿宋_GB2312" w:hAnsi="仿宋_GB2312" w:eastAsia="仿宋_GB2312" w:cs="仿宋_GB2312"/>
          <w:b w:val="0"/>
          <w:bCs/>
          <w:color w:val="auto"/>
          <w:sz w:val="32"/>
          <w:szCs w:val="32"/>
          <w:highlight w:val="none"/>
        </w:rPr>
        <w:t>预算数</w:t>
      </w:r>
      <w:r>
        <w:rPr>
          <w:rStyle w:val="15"/>
          <w:rFonts w:hint="eastAsia" w:ascii="仿宋_GB2312" w:hAnsi="仿宋_GB2312" w:eastAsia="仿宋_GB2312" w:cs="仿宋_GB2312"/>
          <w:b w:val="0"/>
          <w:bCs/>
          <w:color w:val="auto"/>
          <w:sz w:val="32"/>
          <w:szCs w:val="32"/>
          <w:highlight w:val="none"/>
          <w:lang w:val="en-US" w:eastAsia="zh-CN"/>
        </w:rPr>
        <w:t>持平</w:t>
      </w:r>
      <w:r>
        <w:rPr>
          <w:rStyle w:val="15"/>
          <w:rFonts w:hint="eastAsia" w:ascii="仿宋_GB2312" w:hAnsi="仿宋_GB2312" w:eastAsia="仿宋_GB2312" w:cs="仿宋_GB2312"/>
          <w:b w:val="0"/>
          <w:bCs/>
          <w:color w:val="auto"/>
          <w:sz w:val="32"/>
          <w:szCs w:val="32"/>
          <w:highlight w:val="none"/>
        </w:rPr>
        <w:t>。</w:t>
      </w:r>
    </w:p>
    <w:p>
      <w:pPr>
        <w:keepNext w:val="0"/>
        <w:keepLines w:val="0"/>
        <w:pageBreakBefore w:val="0"/>
        <w:widowControl w:val="0"/>
        <w:kinsoku/>
        <w:wordWrap/>
        <w:overflowPunct/>
        <w:topLinePunct w:val="0"/>
        <w:bidi w:val="0"/>
        <w:spacing w:line="600" w:lineRule="exact"/>
        <w:ind w:firstLine="642" w:firstLineChars="200"/>
        <w:rPr>
          <w:rStyle w:val="15"/>
          <w:rFonts w:hint="eastAsia" w:ascii="仿宋_GB2312" w:hAnsi="仿宋_GB2312" w:eastAsia="仿宋_GB2312" w:cs="仿宋_GB2312"/>
          <w:b w:val="0"/>
          <w:bCs/>
          <w:color w:val="auto"/>
          <w:sz w:val="32"/>
          <w:szCs w:val="32"/>
          <w:highlight w:val="none"/>
        </w:rPr>
      </w:pPr>
      <w:r>
        <w:rPr>
          <w:rStyle w:val="15"/>
          <w:rFonts w:hint="eastAsia" w:ascii="仿宋_GB2312" w:hAnsi="仿宋_GB2312" w:eastAsia="仿宋_GB2312" w:cs="仿宋_GB2312"/>
          <w:bCs/>
          <w:color w:val="auto"/>
          <w:sz w:val="32"/>
          <w:szCs w:val="32"/>
          <w:highlight w:val="none"/>
          <w:lang w:val="en-US" w:eastAsia="zh-CN"/>
        </w:rPr>
        <w:t>5</w:t>
      </w:r>
      <w:r>
        <w:rPr>
          <w:rStyle w:val="15"/>
          <w:rFonts w:hint="eastAsia" w:ascii="仿宋_GB2312" w:hAnsi="仿宋_GB2312" w:eastAsia="仿宋_GB2312" w:cs="仿宋_GB2312"/>
          <w:bCs/>
          <w:color w:val="auto"/>
          <w:sz w:val="32"/>
          <w:szCs w:val="32"/>
          <w:highlight w:val="none"/>
        </w:rPr>
        <w:t>.一般公共服务（类）</w:t>
      </w:r>
      <w:r>
        <w:rPr>
          <w:rStyle w:val="15"/>
          <w:rFonts w:hint="eastAsia" w:ascii="仿宋_GB2312" w:hAnsi="仿宋_GB2312" w:eastAsia="仿宋_GB2312" w:cs="仿宋_GB2312"/>
          <w:bCs/>
          <w:color w:val="auto"/>
          <w:sz w:val="32"/>
          <w:szCs w:val="32"/>
          <w:highlight w:val="none"/>
          <w:lang w:val="en-US" w:eastAsia="zh-CN"/>
        </w:rPr>
        <w:t>财政事务</w:t>
      </w:r>
      <w:r>
        <w:rPr>
          <w:rStyle w:val="15"/>
          <w:rFonts w:hint="eastAsia" w:ascii="仿宋_GB2312" w:hAnsi="仿宋_GB2312" w:eastAsia="仿宋_GB2312" w:cs="仿宋_GB2312"/>
          <w:bCs/>
          <w:color w:val="auto"/>
          <w:sz w:val="32"/>
          <w:szCs w:val="32"/>
          <w:highlight w:val="none"/>
        </w:rPr>
        <w:t>（款）</w:t>
      </w:r>
      <w:r>
        <w:rPr>
          <w:rStyle w:val="15"/>
          <w:rFonts w:hint="eastAsia" w:ascii="仿宋_GB2312" w:hAnsi="仿宋_GB2312" w:eastAsia="仿宋_GB2312" w:cs="仿宋_GB2312"/>
          <w:bCs/>
          <w:color w:val="auto"/>
          <w:sz w:val="32"/>
          <w:szCs w:val="32"/>
          <w:highlight w:val="none"/>
          <w:lang w:val="en-US" w:eastAsia="zh-CN"/>
        </w:rPr>
        <w:t>事业运行</w:t>
      </w:r>
      <w:r>
        <w:rPr>
          <w:rStyle w:val="15"/>
          <w:rFonts w:hint="eastAsia" w:ascii="仿宋_GB2312" w:hAnsi="仿宋_GB2312" w:eastAsia="仿宋_GB2312" w:cs="仿宋_GB2312"/>
          <w:bCs/>
          <w:color w:val="auto"/>
          <w:sz w:val="32"/>
          <w:szCs w:val="32"/>
          <w:highlight w:val="none"/>
        </w:rPr>
        <w:t>（项）:</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72.82</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%，决算数</w:t>
      </w:r>
      <w:r>
        <w:rPr>
          <w:rStyle w:val="15"/>
          <w:rFonts w:hint="eastAsia" w:ascii="仿宋_GB2312" w:hAnsi="仿宋_GB2312" w:eastAsia="仿宋_GB2312" w:cs="仿宋_GB2312"/>
          <w:b w:val="0"/>
          <w:bCs/>
          <w:color w:val="auto"/>
          <w:sz w:val="32"/>
          <w:szCs w:val="32"/>
          <w:highlight w:val="none"/>
          <w:lang w:val="en-US" w:eastAsia="zh-CN"/>
        </w:rPr>
        <w:t>与</w:t>
      </w:r>
      <w:r>
        <w:rPr>
          <w:rStyle w:val="15"/>
          <w:rFonts w:hint="eastAsia" w:ascii="仿宋_GB2312" w:hAnsi="仿宋_GB2312" w:eastAsia="仿宋_GB2312" w:cs="仿宋_GB2312"/>
          <w:b w:val="0"/>
          <w:bCs/>
          <w:color w:val="auto"/>
          <w:sz w:val="32"/>
          <w:szCs w:val="32"/>
          <w:highlight w:val="none"/>
        </w:rPr>
        <w:t>预算数</w:t>
      </w:r>
      <w:r>
        <w:rPr>
          <w:rStyle w:val="15"/>
          <w:rFonts w:hint="eastAsia" w:ascii="仿宋_GB2312" w:hAnsi="仿宋_GB2312" w:eastAsia="仿宋_GB2312" w:cs="仿宋_GB2312"/>
          <w:b w:val="0"/>
          <w:bCs/>
          <w:color w:val="auto"/>
          <w:sz w:val="32"/>
          <w:szCs w:val="32"/>
          <w:highlight w:val="none"/>
          <w:lang w:val="en-US" w:eastAsia="zh-CN"/>
        </w:rPr>
        <w:t>持平</w:t>
      </w:r>
      <w:r>
        <w:rPr>
          <w:rStyle w:val="15"/>
          <w:rFonts w:hint="eastAsia" w:ascii="仿宋_GB2312" w:hAnsi="仿宋_GB2312" w:eastAsia="仿宋_GB2312" w:cs="仿宋_GB2312"/>
          <w:b w:val="0"/>
          <w:bCs/>
          <w:color w:val="auto"/>
          <w:sz w:val="32"/>
          <w:szCs w:val="32"/>
          <w:highlight w:val="none"/>
        </w:rPr>
        <w:t>。</w:t>
      </w:r>
    </w:p>
    <w:p>
      <w:pPr>
        <w:keepNext w:val="0"/>
        <w:keepLines w:val="0"/>
        <w:pageBreakBefore w:val="0"/>
        <w:widowControl w:val="0"/>
        <w:kinsoku/>
        <w:wordWrap/>
        <w:overflowPunct/>
        <w:topLinePunct w:val="0"/>
        <w:bidi w:val="0"/>
        <w:spacing w:line="600" w:lineRule="exact"/>
        <w:ind w:firstLine="642" w:firstLineChars="200"/>
        <w:rPr>
          <w:rStyle w:val="15"/>
          <w:rFonts w:hint="eastAsia" w:ascii="仿宋_GB2312" w:hAnsi="仿宋_GB2312" w:eastAsia="仿宋_GB2312" w:cs="仿宋_GB2312"/>
          <w:b w:val="0"/>
          <w:bCs/>
          <w:color w:val="auto"/>
          <w:sz w:val="32"/>
          <w:szCs w:val="32"/>
          <w:highlight w:val="none"/>
        </w:rPr>
      </w:pPr>
      <w:r>
        <w:rPr>
          <w:rStyle w:val="15"/>
          <w:rFonts w:hint="eastAsia" w:ascii="仿宋_GB2312" w:hAnsi="仿宋_GB2312" w:eastAsia="仿宋_GB2312" w:cs="仿宋_GB2312"/>
          <w:bCs/>
          <w:color w:val="auto"/>
          <w:sz w:val="32"/>
          <w:szCs w:val="32"/>
          <w:highlight w:val="none"/>
          <w:lang w:val="en-US" w:eastAsia="zh-CN"/>
        </w:rPr>
        <w:t>6</w:t>
      </w:r>
      <w:r>
        <w:rPr>
          <w:rStyle w:val="15"/>
          <w:rFonts w:hint="eastAsia" w:ascii="仿宋_GB2312" w:hAnsi="仿宋_GB2312" w:eastAsia="仿宋_GB2312" w:cs="仿宋_GB2312"/>
          <w:bCs/>
          <w:color w:val="auto"/>
          <w:sz w:val="32"/>
          <w:szCs w:val="32"/>
          <w:highlight w:val="none"/>
        </w:rPr>
        <w:t>.一般公共服务（类）</w:t>
      </w:r>
      <w:r>
        <w:rPr>
          <w:rStyle w:val="15"/>
          <w:rFonts w:hint="eastAsia" w:ascii="仿宋_GB2312" w:hAnsi="仿宋_GB2312" w:eastAsia="仿宋_GB2312" w:cs="仿宋_GB2312"/>
          <w:bCs/>
          <w:color w:val="auto"/>
          <w:sz w:val="32"/>
          <w:szCs w:val="32"/>
          <w:highlight w:val="none"/>
          <w:lang w:val="en-US" w:eastAsia="zh-CN"/>
        </w:rPr>
        <w:t>财政事务</w:t>
      </w:r>
      <w:r>
        <w:rPr>
          <w:rStyle w:val="15"/>
          <w:rFonts w:hint="eastAsia" w:ascii="仿宋_GB2312" w:hAnsi="仿宋_GB2312" w:eastAsia="仿宋_GB2312" w:cs="仿宋_GB2312"/>
          <w:bCs/>
          <w:color w:val="auto"/>
          <w:sz w:val="32"/>
          <w:szCs w:val="32"/>
          <w:highlight w:val="none"/>
        </w:rPr>
        <w:t>（款）</w:t>
      </w:r>
      <w:r>
        <w:rPr>
          <w:rStyle w:val="15"/>
          <w:rFonts w:hint="eastAsia" w:ascii="仿宋_GB2312" w:hAnsi="仿宋_GB2312" w:eastAsia="仿宋_GB2312" w:cs="仿宋_GB2312"/>
          <w:bCs/>
          <w:color w:val="auto"/>
          <w:sz w:val="32"/>
          <w:szCs w:val="32"/>
          <w:highlight w:val="none"/>
          <w:lang w:val="en-US" w:eastAsia="zh-CN"/>
        </w:rPr>
        <w:t>其他财政事务支出</w:t>
      </w:r>
      <w:r>
        <w:rPr>
          <w:rStyle w:val="15"/>
          <w:rFonts w:hint="eastAsia" w:ascii="仿宋_GB2312" w:hAnsi="仿宋_GB2312" w:eastAsia="仿宋_GB2312" w:cs="仿宋_GB2312"/>
          <w:bCs/>
          <w:color w:val="auto"/>
          <w:sz w:val="32"/>
          <w:szCs w:val="32"/>
          <w:highlight w:val="none"/>
        </w:rPr>
        <w:t>（项）:</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80</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%，决算数</w:t>
      </w:r>
      <w:r>
        <w:rPr>
          <w:rStyle w:val="15"/>
          <w:rFonts w:hint="eastAsia" w:ascii="仿宋_GB2312" w:hAnsi="仿宋_GB2312" w:eastAsia="仿宋_GB2312" w:cs="仿宋_GB2312"/>
          <w:b w:val="0"/>
          <w:bCs/>
          <w:color w:val="auto"/>
          <w:sz w:val="32"/>
          <w:szCs w:val="32"/>
          <w:highlight w:val="none"/>
          <w:lang w:val="en-US" w:eastAsia="zh-CN"/>
        </w:rPr>
        <w:t>与</w:t>
      </w:r>
      <w:r>
        <w:rPr>
          <w:rStyle w:val="15"/>
          <w:rFonts w:hint="eastAsia" w:ascii="仿宋_GB2312" w:hAnsi="仿宋_GB2312" w:eastAsia="仿宋_GB2312" w:cs="仿宋_GB2312"/>
          <w:b w:val="0"/>
          <w:bCs/>
          <w:color w:val="auto"/>
          <w:sz w:val="32"/>
          <w:szCs w:val="32"/>
          <w:highlight w:val="none"/>
        </w:rPr>
        <w:t>预算数</w:t>
      </w:r>
      <w:r>
        <w:rPr>
          <w:rStyle w:val="15"/>
          <w:rFonts w:hint="eastAsia" w:ascii="仿宋_GB2312" w:hAnsi="仿宋_GB2312" w:eastAsia="仿宋_GB2312" w:cs="仿宋_GB2312"/>
          <w:b w:val="0"/>
          <w:bCs/>
          <w:color w:val="auto"/>
          <w:sz w:val="32"/>
          <w:szCs w:val="32"/>
          <w:highlight w:val="none"/>
          <w:lang w:val="en-US" w:eastAsia="zh-CN"/>
        </w:rPr>
        <w:t>持平</w:t>
      </w:r>
      <w:r>
        <w:rPr>
          <w:rStyle w:val="15"/>
          <w:rFonts w:hint="eastAsia" w:ascii="仿宋_GB2312" w:hAnsi="仿宋_GB2312" w:eastAsia="仿宋_GB2312" w:cs="仿宋_GB2312"/>
          <w:b w:val="0"/>
          <w:bCs/>
          <w:color w:val="auto"/>
          <w:sz w:val="32"/>
          <w:szCs w:val="32"/>
          <w:highlight w:val="none"/>
        </w:rPr>
        <w:t>。</w:t>
      </w:r>
    </w:p>
    <w:p>
      <w:pPr>
        <w:keepNext w:val="0"/>
        <w:keepLines w:val="0"/>
        <w:pageBreakBefore w:val="0"/>
        <w:widowControl w:val="0"/>
        <w:kinsoku/>
        <w:wordWrap/>
        <w:overflowPunct/>
        <w:topLinePunct w:val="0"/>
        <w:bidi w:val="0"/>
        <w:spacing w:line="600" w:lineRule="exact"/>
        <w:ind w:firstLine="642" w:firstLineChars="200"/>
        <w:rPr>
          <w:rStyle w:val="15"/>
          <w:rFonts w:hint="eastAsia" w:ascii="仿宋_GB2312" w:hAnsi="仿宋_GB2312" w:eastAsia="仿宋_GB2312" w:cs="仿宋_GB2312"/>
          <w:bCs/>
          <w:color w:val="auto"/>
          <w:sz w:val="32"/>
          <w:szCs w:val="32"/>
          <w:highlight w:val="none"/>
        </w:rPr>
      </w:pPr>
      <w:r>
        <w:rPr>
          <w:rStyle w:val="15"/>
          <w:rFonts w:hint="eastAsia" w:ascii="仿宋_GB2312" w:hAnsi="仿宋_GB2312" w:eastAsia="仿宋_GB2312" w:cs="仿宋_GB2312"/>
          <w:bCs/>
          <w:color w:val="auto"/>
          <w:sz w:val="32"/>
          <w:szCs w:val="32"/>
          <w:highlight w:val="none"/>
          <w:lang w:val="en-US" w:eastAsia="zh-CN"/>
        </w:rPr>
        <w:t>7.社会保障和</w:t>
      </w:r>
      <w:r>
        <w:rPr>
          <w:rStyle w:val="15"/>
          <w:rFonts w:hint="eastAsia" w:ascii="仿宋_GB2312" w:hAnsi="仿宋_GB2312" w:eastAsia="仿宋_GB2312" w:cs="仿宋_GB2312"/>
          <w:bCs/>
          <w:color w:val="auto"/>
          <w:sz w:val="32"/>
          <w:szCs w:val="32"/>
          <w:highlight w:val="none"/>
        </w:rPr>
        <w:t>就业（类）</w:t>
      </w:r>
      <w:r>
        <w:rPr>
          <w:rStyle w:val="15"/>
          <w:rFonts w:hint="eastAsia" w:ascii="仿宋_GB2312" w:hAnsi="仿宋_GB2312" w:eastAsia="仿宋_GB2312" w:cs="仿宋_GB2312"/>
          <w:bCs/>
          <w:color w:val="auto"/>
          <w:sz w:val="32"/>
          <w:szCs w:val="32"/>
          <w:highlight w:val="none"/>
          <w:lang w:val="en-US" w:eastAsia="zh-CN"/>
        </w:rPr>
        <w:t>人力资源和社会保障管理事务</w:t>
      </w:r>
      <w:r>
        <w:rPr>
          <w:rStyle w:val="15"/>
          <w:rFonts w:hint="eastAsia" w:ascii="仿宋_GB2312" w:hAnsi="仿宋_GB2312" w:eastAsia="仿宋_GB2312" w:cs="仿宋_GB2312"/>
          <w:bCs/>
          <w:color w:val="auto"/>
          <w:sz w:val="32"/>
          <w:szCs w:val="32"/>
          <w:highlight w:val="none"/>
        </w:rPr>
        <w:t>（款）</w:t>
      </w:r>
      <w:r>
        <w:rPr>
          <w:rStyle w:val="15"/>
          <w:rFonts w:hint="eastAsia" w:ascii="仿宋_GB2312" w:hAnsi="仿宋_GB2312" w:eastAsia="仿宋_GB2312" w:cs="仿宋_GB2312"/>
          <w:bCs/>
          <w:color w:val="auto"/>
          <w:sz w:val="32"/>
          <w:szCs w:val="32"/>
          <w:highlight w:val="none"/>
          <w:lang w:val="en-US" w:eastAsia="zh-CN"/>
        </w:rPr>
        <w:t>引进人才费用</w:t>
      </w:r>
      <w:r>
        <w:rPr>
          <w:rStyle w:val="15"/>
          <w:rFonts w:hint="eastAsia" w:ascii="仿宋_GB2312" w:hAnsi="仿宋_GB2312" w:eastAsia="仿宋_GB2312" w:cs="仿宋_GB2312"/>
          <w:bCs/>
          <w:color w:val="auto"/>
          <w:sz w:val="32"/>
          <w:szCs w:val="32"/>
          <w:highlight w:val="none"/>
        </w:rPr>
        <w:t>（项）:</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1.2</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%，决算数</w:t>
      </w:r>
      <w:r>
        <w:rPr>
          <w:rStyle w:val="15"/>
          <w:rFonts w:hint="eastAsia" w:ascii="仿宋_GB2312" w:hAnsi="仿宋_GB2312" w:eastAsia="仿宋_GB2312" w:cs="仿宋_GB2312"/>
          <w:b w:val="0"/>
          <w:bCs/>
          <w:color w:val="auto"/>
          <w:sz w:val="32"/>
          <w:szCs w:val="32"/>
          <w:highlight w:val="none"/>
          <w:lang w:val="en-US" w:eastAsia="zh-CN"/>
        </w:rPr>
        <w:t>与</w:t>
      </w:r>
      <w:r>
        <w:rPr>
          <w:rStyle w:val="15"/>
          <w:rFonts w:hint="eastAsia" w:ascii="仿宋_GB2312" w:hAnsi="仿宋_GB2312" w:eastAsia="仿宋_GB2312" w:cs="仿宋_GB2312"/>
          <w:b w:val="0"/>
          <w:bCs/>
          <w:color w:val="auto"/>
          <w:sz w:val="32"/>
          <w:szCs w:val="32"/>
          <w:highlight w:val="none"/>
        </w:rPr>
        <w:t>预算数</w:t>
      </w:r>
      <w:r>
        <w:rPr>
          <w:rStyle w:val="15"/>
          <w:rFonts w:hint="eastAsia" w:ascii="仿宋_GB2312" w:hAnsi="仿宋_GB2312" w:eastAsia="仿宋_GB2312" w:cs="仿宋_GB2312"/>
          <w:b w:val="0"/>
          <w:bCs/>
          <w:color w:val="auto"/>
          <w:sz w:val="32"/>
          <w:szCs w:val="32"/>
          <w:highlight w:val="none"/>
          <w:lang w:val="en-US" w:eastAsia="zh-CN"/>
        </w:rPr>
        <w:t>持平</w:t>
      </w:r>
      <w:r>
        <w:rPr>
          <w:rStyle w:val="15"/>
          <w:rFonts w:hint="eastAsia" w:ascii="仿宋_GB2312" w:hAnsi="仿宋_GB2312" w:eastAsia="仿宋_GB2312" w:cs="仿宋_GB2312"/>
          <w:b w:val="0"/>
          <w:bCs/>
          <w:color w:val="auto"/>
          <w:sz w:val="32"/>
          <w:szCs w:val="32"/>
          <w:highlight w:val="none"/>
        </w:rPr>
        <w:t>。</w:t>
      </w:r>
    </w:p>
    <w:p>
      <w:pPr>
        <w:keepNext w:val="0"/>
        <w:keepLines w:val="0"/>
        <w:pageBreakBefore w:val="0"/>
        <w:widowControl w:val="0"/>
        <w:kinsoku/>
        <w:wordWrap/>
        <w:overflowPunct/>
        <w:topLinePunct w:val="0"/>
        <w:bidi w:val="0"/>
        <w:spacing w:line="600" w:lineRule="exact"/>
        <w:ind w:firstLine="642" w:firstLineChars="200"/>
        <w:rPr>
          <w:rStyle w:val="15"/>
          <w:rFonts w:hint="eastAsia" w:hAnsi="仿宋_GB2312" w:cs="仿宋_GB2312"/>
          <w:bCs/>
          <w:color w:val="auto"/>
          <w:sz w:val="32"/>
          <w:szCs w:val="32"/>
          <w:highlight w:val="none"/>
          <w:lang w:eastAsia="zh-CN"/>
        </w:rPr>
      </w:pPr>
      <w:r>
        <w:rPr>
          <w:rStyle w:val="15"/>
          <w:rFonts w:hint="eastAsia" w:ascii="仿宋_GB2312" w:hAnsi="仿宋_GB2312" w:eastAsia="仿宋_GB2312" w:cs="仿宋_GB2312"/>
          <w:bCs/>
          <w:color w:val="auto"/>
          <w:sz w:val="32"/>
          <w:szCs w:val="32"/>
          <w:highlight w:val="none"/>
          <w:lang w:val="en-US" w:eastAsia="zh-CN"/>
        </w:rPr>
        <w:t>8.社会保障</w:t>
      </w:r>
      <w:r>
        <w:rPr>
          <w:rStyle w:val="15"/>
          <w:rFonts w:hint="eastAsia" w:ascii="仿宋_GB2312" w:hAnsi="仿宋_GB2312" w:eastAsia="仿宋_GB2312" w:cs="仿宋_GB2312"/>
          <w:bCs/>
          <w:color w:val="auto"/>
          <w:sz w:val="32"/>
          <w:szCs w:val="32"/>
          <w:highlight w:val="none"/>
        </w:rPr>
        <w:t>和就业（类）</w:t>
      </w:r>
      <w:r>
        <w:rPr>
          <w:rStyle w:val="15"/>
          <w:rFonts w:hint="eastAsia" w:ascii="仿宋_GB2312" w:hAnsi="仿宋_GB2312" w:eastAsia="仿宋_GB2312" w:cs="仿宋_GB2312"/>
          <w:bCs/>
          <w:color w:val="auto"/>
          <w:sz w:val="32"/>
          <w:szCs w:val="32"/>
          <w:highlight w:val="none"/>
          <w:lang w:val="en-US" w:eastAsia="zh-CN"/>
        </w:rPr>
        <w:t>行政事业单位养老支出</w:t>
      </w:r>
      <w:r>
        <w:rPr>
          <w:rStyle w:val="15"/>
          <w:rFonts w:hint="eastAsia" w:ascii="仿宋_GB2312" w:hAnsi="仿宋_GB2312" w:eastAsia="仿宋_GB2312" w:cs="仿宋_GB2312"/>
          <w:bCs/>
          <w:color w:val="auto"/>
          <w:sz w:val="32"/>
          <w:szCs w:val="32"/>
          <w:highlight w:val="none"/>
        </w:rPr>
        <w:t>（款）</w:t>
      </w:r>
      <w:r>
        <w:rPr>
          <w:rStyle w:val="15"/>
          <w:rFonts w:hint="eastAsia" w:ascii="仿宋_GB2312" w:hAnsi="仿宋_GB2312" w:eastAsia="仿宋_GB2312" w:cs="仿宋_GB2312"/>
          <w:bCs/>
          <w:color w:val="auto"/>
          <w:sz w:val="32"/>
          <w:szCs w:val="32"/>
          <w:highlight w:val="none"/>
          <w:lang w:val="en-US" w:eastAsia="zh-CN"/>
        </w:rPr>
        <w:t>机关事业单位基本养老保险缴费支出</w:t>
      </w:r>
      <w:r>
        <w:rPr>
          <w:rStyle w:val="15"/>
          <w:rFonts w:hint="eastAsia" w:ascii="仿宋_GB2312" w:hAnsi="仿宋_GB2312" w:eastAsia="仿宋_GB2312" w:cs="仿宋_GB2312"/>
          <w:bCs/>
          <w:color w:val="auto"/>
          <w:sz w:val="32"/>
          <w:szCs w:val="32"/>
          <w:highlight w:val="none"/>
        </w:rPr>
        <w:t>（项）</w:t>
      </w:r>
      <w:r>
        <w:rPr>
          <w:rStyle w:val="15"/>
          <w:rFonts w:hint="eastAsia" w:hAnsi="仿宋_GB2312" w:cs="仿宋_GB2312"/>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98</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%，决算数</w:t>
      </w:r>
      <w:r>
        <w:rPr>
          <w:rStyle w:val="15"/>
          <w:rFonts w:hint="eastAsia" w:ascii="仿宋_GB2312" w:hAnsi="仿宋_GB2312" w:eastAsia="仿宋_GB2312" w:cs="仿宋_GB2312"/>
          <w:b w:val="0"/>
          <w:bCs/>
          <w:color w:val="auto"/>
          <w:sz w:val="32"/>
          <w:szCs w:val="32"/>
          <w:highlight w:val="none"/>
          <w:lang w:val="en-US" w:eastAsia="zh-CN"/>
        </w:rPr>
        <w:t>与</w:t>
      </w:r>
      <w:r>
        <w:rPr>
          <w:rStyle w:val="15"/>
          <w:rFonts w:hint="eastAsia" w:ascii="仿宋_GB2312" w:hAnsi="仿宋_GB2312" w:eastAsia="仿宋_GB2312" w:cs="仿宋_GB2312"/>
          <w:b w:val="0"/>
          <w:bCs/>
          <w:color w:val="auto"/>
          <w:sz w:val="32"/>
          <w:szCs w:val="32"/>
          <w:highlight w:val="none"/>
        </w:rPr>
        <w:t>预算数</w:t>
      </w:r>
      <w:r>
        <w:rPr>
          <w:rStyle w:val="15"/>
          <w:rFonts w:hint="eastAsia" w:ascii="仿宋_GB2312" w:hAnsi="仿宋_GB2312" w:eastAsia="仿宋_GB2312" w:cs="仿宋_GB2312"/>
          <w:b w:val="0"/>
          <w:bCs/>
          <w:color w:val="auto"/>
          <w:sz w:val="32"/>
          <w:szCs w:val="32"/>
          <w:highlight w:val="none"/>
          <w:lang w:val="en-US" w:eastAsia="zh-CN"/>
        </w:rPr>
        <w:t>持平</w:t>
      </w:r>
      <w:r>
        <w:rPr>
          <w:rStyle w:val="15"/>
          <w:rFonts w:hint="eastAsia" w:ascii="仿宋_GB2312" w:hAnsi="仿宋_GB2312" w:eastAsia="仿宋_GB2312" w:cs="仿宋_GB2312"/>
          <w:b w:val="0"/>
          <w:bCs/>
          <w:color w:val="auto"/>
          <w:sz w:val="32"/>
          <w:szCs w:val="32"/>
          <w:highlight w:val="none"/>
        </w:rPr>
        <w:t>。</w:t>
      </w:r>
    </w:p>
    <w:p>
      <w:pPr>
        <w:keepNext w:val="0"/>
        <w:keepLines w:val="0"/>
        <w:pageBreakBefore w:val="0"/>
        <w:widowControl w:val="0"/>
        <w:kinsoku/>
        <w:wordWrap/>
        <w:overflowPunct/>
        <w:topLinePunct w:val="0"/>
        <w:bidi w:val="0"/>
        <w:spacing w:line="600" w:lineRule="exact"/>
        <w:ind w:firstLine="642" w:firstLineChars="200"/>
        <w:rPr>
          <w:rStyle w:val="15"/>
          <w:rFonts w:hint="eastAsia" w:hAnsi="仿宋_GB2312" w:cs="仿宋_GB2312"/>
          <w:bCs/>
          <w:color w:val="auto"/>
          <w:sz w:val="32"/>
          <w:szCs w:val="32"/>
          <w:highlight w:val="none"/>
          <w:lang w:eastAsia="zh-CN"/>
        </w:rPr>
      </w:pPr>
      <w:r>
        <w:rPr>
          <w:rStyle w:val="15"/>
          <w:rFonts w:hint="eastAsia" w:ascii="仿宋_GB2312" w:hAnsi="仿宋_GB2312" w:eastAsia="仿宋_GB2312" w:cs="仿宋_GB2312"/>
          <w:bCs/>
          <w:color w:val="auto"/>
          <w:sz w:val="32"/>
          <w:szCs w:val="32"/>
          <w:highlight w:val="none"/>
          <w:lang w:val="en-US" w:eastAsia="zh-CN"/>
        </w:rPr>
        <w:t>9.社会保</w:t>
      </w:r>
      <w:r>
        <w:rPr>
          <w:rStyle w:val="15"/>
          <w:rFonts w:hint="eastAsia" w:ascii="仿宋_GB2312" w:hAnsi="仿宋_GB2312" w:eastAsia="仿宋_GB2312" w:cs="仿宋_GB2312"/>
          <w:bCs/>
          <w:color w:val="auto"/>
          <w:sz w:val="32"/>
          <w:szCs w:val="32"/>
          <w:highlight w:val="none"/>
        </w:rPr>
        <w:t>障和就业（类）</w:t>
      </w:r>
      <w:r>
        <w:rPr>
          <w:rStyle w:val="15"/>
          <w:rFonts w:hint="eastAsia" w:ascii="仿宋_GB2312" w:hAnsi="仿宋_GB2312" w:eastAsia="仿宋_GB2312" w:cs="仿宋_GB2312"/>
          <w:bCs/>
          <w:color w:val="auto"/>
          <w:sz w:val="32"/>
          <w:szCs w:val="32"/>
          <w:highlight w:val="none"/>
          <w:lang w:val="en-US" w:eastAsia="zh-CN"/>
        </w:rPr>
        <w:t>行政事业单位养老支出</w:t>
      </w:r>
      <w:r>
        <w:rPr>
          <w:rStyle w:val="15"/>
          <w:rFonts w:hint="eastAsia" w:ascii="仿宋_GB2312" w:hAnsi="仿宋_GB2312" w:eastAsia="仿宋_GB2312" w:cs="仿宋_GB2312"/>
          <w:bCs/>
          <w:color w:val="auto"/>
          <w:sz w:val="32"/>
          <w:szCs w:val="32"/>
          <w:highlight w:val="none"/>
        </w:rPr>
        <w:t>（款）</w:t>
      </w:r>
      <w:r>
        <w:rPr>
          <w:rStyle w:val="15"/>
          <w:rFonts w:hint="eastAsia" w:ascii="仿宋_GB2312" w:hAnsi="仿宋_GB2312" w:eastAsia="仿宋_GB2312" w:cs="仿宋_GB2312"/>
          <w:bCs/>
          <w:color w:val="auto"/>
          <w:sz w:val="32"/>
          <w:szCs w:val="32"/>
          <w:highlight w:val="none"/>
          <w:lang w:val="en-US" w:eastAsia="zh-CN"/>
        </w:rPr>
        <w:t>机关事业单位职业年金缴费支出</w:t>
      </w:r>
      <w:r>
        <w:rPr>
          <w:rStyle w:val="15"/>
          <w:rFonts w:hint="eastAsia" w:ascii="仿宋_GB2312" w:hAnsi="仿宋_GB2312" w:eastAsia="仿宋_GB2312" w:cs="仿宋_GB2312"/>
          <w:bCs/>
          <w:color w:val="auto"/>
          <w:sz w:val="32"/>
          <w:szCs w:val="32"/>
          <w:highlight w:val="none"/>
        </w:rPr>
        <w:t>（项）</w:t>
      </w:r>
      <w:r>
        <w:rPr>
          <w:rStyle w:val="15"/>
          <w:rFonts w:hint="eastAsia" w:hAnsi="仿宋_GB2312" w:cs="仿宋_GB2312"/>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15.76</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%，决算数</w:t>
      </w:r>
      <w:r>
        <w:rPr>
          <w:rStyle w:val="15"/>
          <w:rFonts w:hint="eastAsia" w:ascii="仿宋_GB2312" w:hAnsi="仿宋_GB2312" w:eastAsia="仿宋_GB2312" w:cs="仿宋_GB2312"/>
          <w:b w:val="0"/>
          <w:bCs/>
          <w:color w:val="auto"/>
          <w:sz w:val="32"/>
          <w:szCs w:val="32"/>
          <w:highlight w:val="none"/>
          <w:lang w:val="en-US" w:eastAsia="zh-CN"/>
        </w:rPr>
        <w:t>与</w:t>
      </w:r>
      <w:r>
        <w:rPr>
          <w:rStyle w:val="15"/>
          <w:rFonts w:hint="eastAsia" w:ascii="仿宋_GB2312" w:hAnsi="仿宋_GB2312" w:eastAsia="仿宋_GB2312" w:cs="仿宋_GB2312"/>
          <w:b w:val="0"/>
          <w:bCs/>
          <w:color w:val="auto"/>
          <w:sz w:val="32"/>
          <w:szCs w:val="32"/>
          <w:highlight w:val="none"/>
        </w:rPr>
        <w:t>预算数</w:t>
      </w:r>
      <w:r>
        <w:rPr>
          <w:rStyle w:val="15"/>
          <w:rFonts w:hint="eastAsia" w:ascii="仿宋_GB2312" w:hAnsi="仿宋_GB2312" w:eastAsia="仿宋_GB2312" w:cs="仿宋_GB2312"/>
          <w:b w:val="0"/>
          <w:bCs/>
          <w:color w:val="auto"/>
          <w:sz w:val="32"/>
          <w:szCs w:val="32"/>
          <w:highlight w:val="none"/>
          <w:lang w:val="en-US" w:eastAsia="zh-CN"/>
        </w:rPr>
        <w:t>持平</w:t>
      </w:r>
      <w:r>
        <w:rPr>
          <w:rStyle w:val="15"/>
          <w:rFonts w:hint="eastAsia" w:ascii="仿宋_GB2312" w:hAnsi="仿宋_GB2312" w:eastAsia="仿宋_GB2312" w:cs="仿宋_GB2312"/>
          <w:b w:val="0"/>
          <w:bCs/>
          <w:color w:val="auto"/>
          <w:sz w:val="32"/>
          <w:szCs w:val="32"/>
          <w:highlight w:val="none"/>
        </w:rPr>
        <w:t>。</w:t>
      </w:r>
    </w:p>
    <w:p>
      <w:pPr>
        <w:keepNext w:val="0"/>
        <w:keepLines w:val="0"/>
        <w:pageBreakBefore w:val="0"/>
        <w:widowControl w:val="0"/>
        <w:kinsoku/>
        <w:wordWrap/>
        <w:overflowPunct/>
        <w:topLinePunct w:val="0"/>
        <w:bidi w:val="0"/>
        <w:spacing w:line="600" w:lineRule="exact"/>
        <w:ind w:firstLine="642" w:firstLineChars="200"/>
        <w:rPr>
          <w:rStyle w:val="15"/>
          <w:rFonts w:hint="eastAsia" w:hAnsi="仿宋_GB2312" w:eastAsia="仿宋_GB2312" w:cs="仿宋_GB2312"/>
          <w:bCs/>
          <w:color w:val="auto"/>
          <w:sz w:val="32"/>
          <w:szCs w:val="32"/>
          <w:highlight w:val="none"/>
          <w:lang w:val="en-US" w:eastAsia="zh-CN"/>
        </w:rPr>
      </w:pPr>
      <w:r>
        <w:rPr>
          <w:rStyle w:val="15"/>
          <w:rFonts w:hint="eastAsia" w:ascii="仿宋_GB2312" w:hAnsi="仿宋_GB2312" w:eastAsia="仿宋_GB2312" w:cs="仿宋_GB2312"/>
          <w:bCs/>
          <w:color w:val="auto"/>
          <w:sz w:val="32"/>
          <w:szCs w:val="32"/>
          <w:highlight w:val="none"/>
          <w:lang w:val="en-US" w:eastAsia="zh-CN"/>
        </w:rPr>
        <w:t>10.社会保</w:t>
      </w:r>
      <w:r>
        <w:rPr>
          <w:rStyle w:val="15"/>
          <w:rFonts w:hint="eastAsia" w:ascii="仿宋_GB2312" w:hAnsi="仿宋_GB2312" w:eastAsia="仿宋_GB2312" w:cs="仿宋_GB2312"/>
          <w:bCs/>
          <w:color w:val="auto"/>
          <w:sz w:val="32"/>
          <w:szCs w:val="32"/>
          <w:highlight w:val="none"/>
        </w:rPr>
        <w:t>障和就业（类）</w:t>
      </w:r>
      <w:r>
        <w:rPr>
          <w:rStyle w:val="15"/>
          <w:rFonts w:hint="eastAsia" w:ascii="仿宋_GB2312" w:hAnsi="仿宋_GB2312" w:eastAsia="仿宋_GB2312" w:cs="仿宋_GB2312"/>
          <w:bCs/>
          <w:color w:val="auto"/>
          <w:sz w:val="32"/>
          <w:szCs w:val="32"/>
          <w:highlight w:val="none"/>
          <w:lang w:val="en-US" w:eastAsia="zh-CN"/>
        </w:rPr>
        <w:t>抚恤</w:t>
      </w:r>
      <w:r>
        <w:rPr>
          <w:rStyle w:val="15"/>
          <w:rFonts w:hint="eastAsia" w:ascii="仿宋_GB2312" w:hAnsi="仿宋_GB2312" w:eastAsia="仿宋_GB2312" w:cs="仿宋_GB2312"/>
          <w:bCs/>
          <w:color w:val="auto"/>
          <w:sz w:val="32"/>
          <w:szCs w:val="32"/>
          <w:highlight w:val="none"/>
        </w:rPr>
        <w:t>（款）</w:t>
      </w:r>
      <w:r>
        <w:rPr>
          <w:rStyle w:val="15"/>
          <w:rFonts w:hint="eastAsia" w:ascii="仿宋_GB2312" w:hAnsi="仿宋_GB2312" w:eastAsia="仿宋_GB2312" w:cs="仿宋_GB2312"/>
          <w:bCs/>
          <w:color w:val="auto"/>
          <w:sz w:val="32"/>
          <w:szCs w:val="32"/>
          <w:highlight w:val="none"/>
          <w:lang w:val="en-US" w:eastAsia="zh-CN"/>
        </w:rPr>
        <w:t>死亡抚恤</w:t>
      </w:r>
      <w:r>
        <w:rPr>
          <w:rStyle w:val="15"/>
          <w:rFonts w:hint="eastAsia" w:ascii="仿宋_GB2312" w:hAnsi="仿宋_GB2312" w:eastAsia="仿宋_GB2312" w:cs="仿宋_GB2312"/>
          <w:bCs/>
          <w:color w:val="auto"/>
          <w:sz w:val="32"/>
          <w:szCs w:val="32"/>
          <w:highlight w:val="none"/>
        </w:rPr>
        <w:t>（项）</w:t>
      </w:r>
      <w:r>
        <w:rPr>
          <w:rStyle w:val="15"/>
          <w:rFonts w:hint="eastAsia" w:hAnsi="仿宋_GB2312" w:cs="仿宋_GB2312"/>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22.95</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%，决算数</w:t>
      </w:r>
      <w:r>
        <w:rPr>
          <w:rStyle w:val="15"/>
          <w:rFonts w:hint="eastAsia" w:ascii="仿宋_GB2312" w:hAnsi="仿宋_GB2312" w:eastAsia="仿宋_GB2312" w:cs="仿宋_GB2312"/>
          <w:b w:val="0"/>
          <w:bCs/>
          <w:color w:val="auto"/>
          <w:sz w:val="32"/>
          <w:szCs w:val="32"/>
          <w:highlight w:val="none"/>
          <w:lang w:val="en-US" w:eastAsia="zh-CN"/>
        </w:rPr>
        <w:t>与</w:t>
      </w:r>
      <w:r>
        <w:rPr>
          <w:rStyle w:val="15"/>
          <w:rFonts w:hint="eastAsia" w:ascii="仿宋_GB2312" w:hAnsi="仿宋_GB2312" w:eastAsia="仿宋_GB2312" w:cs="仿宋_GB2312"/>
          <w:b w:val="0"/>
          <w:bCs/>
          <w:color w:val="auto"/>
          <w:sz w:val="32"/>
          <w:szCs w:val="32"/>
          <w:highlight w:val="none"/>
        </w:rPr>
        <w:t>预算数</w:t>
      </w:r>
      <w:r>
        <w:rPr>
          <w:rStyle w:val="15"/>
          <w:rFonts w:hint="eastAsia" w:ascii="仿宋_GB2312" w:hAnsi="仿宋_GB2312" w:eastAsia="仿宋_GB2312" w:cs="仿宋_GB2312"/>
          <w:b w:val="0"/>
          <w:bCs/>
          <w:color w:val="auto"/>
          <w:sz w:val="32"/>
          <w:szCs w:val="32"/>
          <w:highlight w:val="none"/>
          <w:lang w:val="en-US" w:eastAsia="zh-CN"/>
        </w:rPr>
        <w:t>持平</w:t>
      </w:r>
      <w:r>
        <w:rPr>
          <w:rStyle w:val="15"/>
          <w:rFonts w:hint="eastAsia" w:ascii="仿宋_GB2312" w:hAnsi="仿宋_GB2312" w:eastAsia="仿宋_GB2312" w:cs="仿宋_GB2312"/>
          <w:b w:val="0"/>
          <w:bCs/>
          <w:color w:val="auto"/>
          <w:sz w:val="32"/>
          <w:szCs w:val="32"/>
          <w:highlight w:val="none"/>
        </w:rPr>
        <w:t>。</w:t>
      </w:r>
    </w:p>
    <w:p>
      <w:pPr>
        <w:keepNext w:val="0"/>
        <w:keepLines w:val="0"/>
        <w:pageBreakBefore w:val="0"/>
        <w:widowControl w:val="0"/>
        <w:kinsoku/>
        <w:wordWrap/>
        <w:overflowPunct/>
        <w:topLinePunct w:val="0"/>
        <w:bidi w:val="0"/>
        <w:spacing w:line="600" w:lineRule="exact"/>
        <w:ind w:firstLine="642" w:firstLineChars="200"/>
        <w:rPr>
          <w:rStyle w:val="15"/>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11.</w:t>
      </w:r>
      <w:r>
        <w:rPr>
          <w:rFonts w:hint="eastAsia" w:ascii="仿宋_GB2312" w:hAnsi="仿宋_GB2312" w:eastAsia="仿宋_GB2312" w:cs="仿宋_GB2312"/>
          <w:b/>
          <w:bCs/>
          <w:color w:val="auto"/>
          <w:sz w:val="32"/>
          <w:szCs w:val="32"/>
          <w:highlight w:val="none"/>
        </w:rPr>
        <w:t>卫生健康</w:t>
      </w:r>
      <w:r>
        <w:rPr>
          <w:rStyle w:val="15"/>
          <w:rFonts w:hint="eastAsia" w:ascii="仿宋_GB2312" w:hAnsi="仿宋_GB2312" w:eastAsia="仿宋_GB2312" w:cs="仿宋_GB2312"/>
          <w:bCs/>
          <w:color w:val="auto"/>
          <w:sz w:val="32"/>
          <w:szCs w:val="32"/>
          <w:highlight w:val="none"/>
        </w:rPr>
        <w:t>（类）</w:t>
      </w:r>
      <w:r>
        <w:rPr>
          <w:rStyle w:val="15"/>
          <w:rFonts w:hint="eastAsia" w:ascii="仿宋_GB2312" w:hAnsi="仿宋_GB2312" w:eastAsia="仿宋_GB2312" w:cs="仿宋_GB2312"/>
          <w:bCs/>
          <w:color w:val="auto"/>
          <w:sz w:val="32"/>
          <w:szCs w:val="32"/>
          <w:highlight w:val="none"/>
          <w:lang w:val="en-US" w:eastAsia="zh-CN"/>
        </w:rPr>
        <w:t>行政事业单位医疗</w:t>
      </w:r>
      <w:r>
        <w:rPr>
          <w:rStyle w:val="15"/>
          <w:rFonts w:hint="eastAsia" w:ascii="仿宋_GB2312" w:hAnsi="仿宋_GB2312" w:eastAsia="仿宋_GB2312" w:cs="仿宋_GB2312"/>
          <w:bCs/>
          <w:color w:val="auto"/>
          <w:sz w:val="32"/>
          <w:szCs w:val="32"/>
          <w:highlight w:val="none"/>
        </w:rPr>
        <w:t>（款）</w:t>
      </w:r>
      <w:r>
        <w:rPr>
          <w:rStyle w:val="15"/>
          <w:rFonts w:hint="eastAsia" w:ascii="仿宋_GB2312" w:hAnsi="仿宋_GB2312" w:eastAsia="仿宋_GB2312" w:cs="仿宋_GB2312"/>
          <w:bCs/>
          <w:color w:val="auto"/>
          <w:sz w:val="32"/>
          <w:szCs w:val="32"/>
          <w:highlight w:val="none"/>
          <w:lang w:val="en-US" w:eastAsia="zh-CN"/>
        </w:rPr>
        <w:t>行政单位医疗</w:t>
      </w:r>
      <w:r>
        <w:rPr>
          <w:rStyle w:val="15"/>
          <w:rFonts w:hint="eastAsia" w:ascii="仿宋_GB2312" w:hAnsi="仿宋_GB2312" w:eastAsia="仿宋_GB2312" w:cs="仿宋_GB2312"/>
          <w:bCs/>
          <w:color w:val="auto"/>
          <w:sz w:val="32"/>
          <w:szCs w:val="32"/>
          <w:highlight w:val="none"/>
        </w:rPr>
        <w:t>（项）:</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51.46</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%，决算数</w:t>
      </w:r>
      <w:r>
        <w:rPr>
          <w:rStyle w:val="15"/>
          <w:rFonts w:hint="eastAsia" w:ascii="仿宋_GB2312" w:hAnsi="仿宋_GB2312" w:eastAsia="仿宋_GB2312" w:cs="仿宋_GB2312"/>
          <w:b w:val="0"/>
          <w:bCs/>
          <w:color w:val="auto"/>
          <w:sz w:val="32"/>
          <w:szCs w:val="32"/>
          <w:highlight w:val="none"/>
          <w:lang w:val="en-US" w:eastAsia="zh-CN"/>
        </w:rPr>
        <w:t>与</w:t>
      </w:r>
      <w:r>
        <w:rPr>
          <w:rStyle w:val="15"/>
          <w:rFonts w:hint="eastAsia" w:ascii="仿宋_GB2312" w:hAnsi="仿宋_GB2312" w:eastAsia="仿宋_GB2312" w:cs="仿宋_GB2312"/>
          <w:b w:val="0"/>
          <w:bCs/>
          <w:color w:val="auto"/>
          <w:sz w:val="32"/>
          <w:szCs w:val="32"/>
          <w:highlight w:val="none"/>
        </w:rPr>
        <w:t>预算数</w:t>
      </w:r>
      <w:r>
        <w:rPr>
          <w:rStyle w:val="15"/>
          <w:rFonts w:hint="eastAsia" w:ascii="仿宋_GB2312" w:hAnsi="仿宋_GB2312" w:eastAsia="仿宋_GB2312" w:cs="仿宋_GB2312"/>
          <w:b w:val="0"/>
          <w:bCs/>
          <w:color w:val="auto"/>
          <w:sz w:val="32"/>
          <w:szCs w:val="32"/>
          <w:highlight w:val="none"/>
          <w:lang w:val="en-US" w:eastAsia="zh-CN"/>
        </w:rPr>
        <w:t>持平</w:t>
      </w:r>
      <w:r>
        <w:rPr>
          <w:rStyle w:val="15"/>
          <w:rFonts w:hint="eastAsia" w:ascii="仿宋_GB2312" w:hAnsi="仿宋_GB2312" w:eastAsia="仿宋_GB2312" w:cs="仿宋_GB2312"/>
          <w:b w:val="0"/>
          <w:bCs/>
          <w:color w:val="auto"/>
          <w:sz w:val="32"/>
          <w:szCs w:val="32"/>
          <w:highlight w:val="none"/>
        </w:rPr>
        <w:t>。</w:t>
      </w:r>
    </w:p>
    <w:p>
      <w:pPr>
        <w:pStyle w:val="6"/>
        <w:ind w:firstLine="642" w:firstLineChars="200"/>
        <w:rPr>
          <w:rStyle w:val="15"/>
          <w:rFonts w:hint="eastAsia" w:hAnsi="仿宋_GB2312" w:cs="仿宋_GB2312"/>
          <w:bCs/>
          <w:color w:val="auto"/>
          <w:sz w:val="32"/>
          <w:szCs w:val="32"/>
          <w:highlight w:val="none"/>
          <w:lang w:val="en-US" w:eastAsia="zh-CN"/>
        </w:rPr>
      </w:pPr>
      <w:r>
        <w:rPr>
          <w:rStyle w:val="15"/>
          <w:rFonts w:hint="eastAsia" w:ascii="仿宋_GB2312" w:hAnsi="仿宋_GB2312" w:eastAsia="仿宋_GB2312" w:cs="仿宋_GB2312"/>
          <w:bCs/>
          <w:color w:val="auto"/>
          <w:sz w:val="32"/>
          <w:szCs w:val="32"/>
          <w:highlight w:val="none"/>
          <w:lang w:val="en-US" w:eastAsia="zh-CN"/>
        </w:rPr>
        <w:t>12</w:t>
      </w:r>
      <w:r>
        <w:rPr>
          <w:rStyle w:val="15"/>
          <w:rFonts w:hint="eastAsia" w:ascii="仿宋_GB2312" w:hAnsi="仿宋_GB2312" w:eastAsia="仿宋_GB2312" w:cs="仿宋_GB2312"/>
          <w:bCs/>
          <w:color w:val="000000"/>
          <w:sz w:val="32"/>
          <w:szCs w:val="32"/>
          <w:lang w:val="en-US" w:eastAsia="zh-CN"/>
        </w:rPr>
        <w:t>.</w:t>
      </w:r>
      <w:r>
        <w:rPr>
          <w:rStyle w:val="15"/>
          <w:rFonts w:hint="eastAsia" w:ascii="仿宋_GB2312" w:hAnsi="仿宋_GB2312" w:eastAsia="仿宋_GB2312" w:cs="仿宋_GB2312"/>
          <w:bCs/>
          <w:color w:val="000000"/>
          <w:sz w:val="32"/>
          <w:szCs w:val="32"/>
        </w:rPr>
        <w:t>住房保障（类）住房改革</w:t>
      </w:r>
      <w:r>
        <w:rPr>
          <w:rStyle w:val="15"/>
          <w:rFonts w:hint="eastAsia" w:ascii="仿宋_GB2312" w:hAnsi="仿宋_GB2312" w:eastAsia="仿宋_GB2312" w:cs="仿宋_GB2312"/>
          <w:bCs/>
          <w:color w:val="000000"/>
          <w:sz w:val="32"/>
          <w:szCs w:val="32"/>
          <w:lang w:val="en-US" w:eastAsia="zh-CN"/>
        </w:rPr>
        <w:t>支出</w:t>
      </w:r>
      <w:r>
        <w:rPr>
          <w:rStyle w:val="15"/>
          <w:rFonts w:hint="eastAsia" w:ascii="仿宋_GB2312" w:hAnsi="仿宋_GB2312" w:eastAsia="仿宋_GB2312" w:cs="仿宋_GB2312"/>
          <w:bCs/>
          <w:color w:val="000000"/>
          <w:sz w:val="32"/>
          <w:szCs w:val="32"/>
        </w:rPr>
        <w:t>（款）住房公积金（项）:</w:t>
      </w:r>
      <w:r>
        <w:rPr>
          <w:rStyle w:val="15"/>
          <w:rFonts w:hint="eastAsia" w:ascii="仿宋_GB2312" w:hAnsi="仿宋_GB2312" w:eastAsia="仿宋_GB2312" w:cs="仿宋_GB2312"/>
          <w:b w:val="0"/>
          <w:bCs/>
          <w:color w:val="000000"/>
          <w:sz w:val="32"/>
          <w:szCs w:val="32"/>
        </w:rPr>
        <w:t>支出决算为</w:t>
      </w:r>
      <w:r>
        <w:rPr>
          <w:rStyle w:val="15"/>
          <w:rFonts w:hint="eastAsia" w:hAnsi="仿宋_GB2312" w:cs="仿宋_GB2312"/>
          <w:b w:val="0"/>
          <w:bCs/>
          <w:color w:val="000000"/>
          <w:sz w:val="32"/>
          <w:szCs w:val="32"/>
          <w:lang w:val="en-US" w:eastAsia="zh-CN"/>
        </w:rPr>
        <w:t>135.17</w:t>
      </w:r>
      <w:r>
        <w:rPr>
          <w:rStyle w:val="15"/>
          <w:rFonts w:hint="eastAsia" w:ascii="仿宋_GB2312" w:hAnsi="仿宋_GB2312" w:eastAsia="仿宋_GB2312" w:cs="仿宋_GB2312"/>
          <w:b w:val="0"/>
          <w:bCs/>
          <w:color w:val="000000"/>
          <w:sz w:val="32"/>
          <w:szCs w:val="32"/>
        </w:rPr>
        <w:t>万元，完成预算</w:t>
      </w:r>
      <w:r>
        <w:rPr>
          <w:rStyle w:val="15"/>
          <w:rFonts w:hint="eastAsia" w:ascii="仿宋_GB2312" w:hAnsi="仿宋_GB2312" w:eastAsia="仿宋_GB2312" w:cs="仿宋_GB2312"/>
          <w:b w:val="0"/>
          <w:bCs/>
          <w:color w:val="000000"/>
          <w:sz w:val="32"/>
          <w:szCs w:val="32"/>
          <w:lang w:val="en-US" w:eastAsia="zh-CN"/>
        </w:rPr>
        <w:t>100</w:t>
      </w:r>
      <w:r>
        <w:rPr>
          <w:rStyle w:val="15"/>
          <w:rFonts w:hint="eastAsia" w:ascii="仿宋_GB2312" w:hAnsi="仿宋_GB2312" w:eastAsia="仿宋_GB2312" w:cs="仿宋_GB2312"/>
          <w:b w:val="0"/>
          <w:bCs/>
          <w:color w:val="000000"/>
          <w:sz w:val="32"/>
          <w:szCs w:val="32"/>
        </w:rPr>
        <w:t>%，</w:t>
      </w:r>
      <w:r>
        <w:rPr>
          <w:rStyle w:val="15"/>
          <w:rFonts w:hint="eastAsia" w:ascii="仿宋_GB2312" w:hAnsi="仿宋_GB2312" w:eastAsia="仿宋_GB2312" w:cs="仿宋_GB2312"/>
          <w:b w:val="0"/>
          <w:bCs/>
          <w:color w:val="auto"/>
          <w:sz w:val="32"/>
          <w:szCs w:val="32"/>
          <w:highlight w:val="none"/>
        </w:rPr>
        <w:t>决算数</w:t>
      </w:r>
      <w:r>
        <w:rPr>
          <w:rStyle w:val="15"/>
          <w:rFonts w:hint="eastAsia" w:ascii="仿宋_GB2312" w:hAnsi="仿宋_GB2312" w:eastAsia="仿宋_GB2312" w:cs="仿宋_GB2312"/>
          <w:b w:val="0"/>
          <w:bCs/>
          <w:color w:val="auto"/>
          <w:sz w:val="32"/>
          <w:szCs w:val="32"/>
          <w:highlight w:val="none"/>
          <w:lang w:val="en-US" w:eastAsia="zh-CN"/>
        </w:rPr>
        <w:t>与</w:t>
      </w:r>
      <w:r>
        <w:rPr>
          <w:rStyle w:val="15"/>
          <w:rFonts w:hint="eastAsia" w:ascii="仿宋_GB2312" w:hAnsi="仿宋_GB2312" w:eastAsia="仿宋_GB2312" w:cs="仿宋_GB2312"/>
          <w:b w:val="0"/>
          <w:bCs/>
          <w:color w:val="auto"/>
          <w:sz w:val="32"/>
          <w:szCs w:val="32"/>
          <w:highlight w:val="none"/>
        </w:rPr>
        <w:t>预算数</w:t>
      </w:r>
      <w:r>
        <w:rPr>
          <w:rStyle w:val="15"/>
          <w:rFonts w:hint="eastAsia" w:ascii="仿宋_GB2312" w:hAnsi="仿宋_GB2312" w:eastAsia="仿宋_GB2312" w:cs="仿宋_GB2312"/>
          <w:b w:val="0"/>
          <w:bCs/>
          <w:color w:val="auto"/>
          <w:sz w:val="32"/>
          <w:szCs w:val="32"/>
          <w:highlight w:val="none"/>
          <w:lang w:val="en-US" w:eastAsia="zh-CN"/>
        </w:rPr>
        <w:t>持平</w:t>
      </w:r>
      <w:r>
        <w:rPr>
          <w:rStyle w:val="15"/>
          <w:rFonts w:hint="eastAsia" w:ascii="仿宋_GB2312" w:hAnsi="仿宋_GB2312" w:eastAsia="仿宋_GB2312" w:cs="仿宋_GB2312"/>
          <w:b w:val="0"/>
          <w:bCs/>
          <w:color w:val="auto"/>
          <w:sz w:val="32"/>
          <w:szCs w:val="32"/>
          <w:highlight w:val="none"/>
        </w:rPr>
        <w:t>。</w:t>
      </w:r>
    </w:p>
    <w:p>
      <w:pPr>
        <w:spacing w:line="600" w:lineRule="exact"/>
        <w:ind w:firstLine="642" w:firstLineChars="200"/>
        <w:rPr>
          <w:rFonts w:ascii="仿宋" w:hAnsi="仿宋" w:eastAsia="仿宋"/>
          <w:b/>
          <w:color w:val="auto"/>
          <w:sz w:val="32"/>
          <w:szCs w:val="32"/>
          <w:highlight w:val="none"/>
        </w:rPr>
      </w:pPr>
      <w:r>
        <w:rPr>
          <w:rFonts w:hint="eastAsia" w:ascii="仿宋" w:hAnsi="仿宋" w:eastAsia="仿宋"/>
          <w:b/>
          <w:color w:val="auto"/>
          <w:sz w:val="32"/>
          <w:szCs w:val="32"/>
          <w:highlight w:val="none"/>
          <w:lang w:val="en-US" w:eastAsia="zh-CN"/>
        </w:rPr>
        <w:t>13.</w:t>
      </w:r>
      <w:r>
        <w:rPr>
          <w:rStyle w:val="15"/>
          <w:rFonts w:hint="eastAsia" w:ascii="仿宋_GB2312" w:hAnsi="仿宋_GB2312" w:eastAsia="仿宋_GB2312" w:cs="仿宋_GB2312"/>
          <w:bCs/>
          <w:color w:val="000000"/>
          <w:sz w:val="32"/>
          <w:szCs w:val="32"/>
          <w:lang w:eastAsia="zh-CN"/>
        </w:rPr>
        <w:t>其他支出</w:t>
      </w:r>
      <w:r>
        <w:rPr>
          <w:rStyle w:val="15"/>
          <w:rFonts w:hint="eastAsia" w:ascii="仿宋_GB2312" w:hAnsi="仿宋_GB2312" w:eastAsia="仿宋_GB2312" w:cs="仿宋_GB2312"/>
          <w:bCs/>
          <w:color w:val="000000"/>
          <w:sz w:val="32"/>
          <w:szCs w:val="32"/>
        </w:rPr>
        <w:t>（类）</w:t>
      </w:r>
      <w:r>
        <w:rPr>
          <w:rStyle w:val="15"/>
          <w:rFonts w:hint="eastAsia" w:ascii="仿宋_GB2312" w:hAnsi="仿宋_GB2312" w:eastAsia="仿宋_GB2312" w:cs="仿宋_GB2312"/>
          <w:bCs/>
          <w:color w:val="000000"/>
          <w:sz w:val="32"/>
          <w:szCs w:val="32"/>
          <w:lang w:eastAsia="zh-CN"/>
        </w:rPr>
        <w:t>其他支出</w:t>
      </w:r>
      <w:r>
        <w:rPr>
          <w:rStyle w:val="15"/>
          <w:rFonts w:hint="eastAsia" w:ascii="仿宋_GB2312" w:hAnsi="仿宋_GB2312" w:eastAsia="仿宋_GB2312" w:cs="仿宋_GB2312"/>
          <w:bCs/>
          <w:color w:val="000000"/>
          <w:sz w:val="32"/>
          <w:szCs w:val="32"/>
        </w:rPr>
        <w:t>（款）</w:t>
      </w:r>
      <w:r>
        <w:rPr>
          <w:rStyle w:val="15"/>
          <w:rFonts w:hint="eastAsia" w:ascii="仿宋_GB2312" w:hAnsi="仿宋_GB2312" w:eastAsia="仿宋_GB2312" w:cs="仿宋_GB2312"/>
          <w:bCs/>
          <w:color w:val="000000"/>
          <w:sz w:val="32"/>
          <w:szCs w:val="32"/>
          <w:lang w:eastAsia="zh-CN"/>
        </w:rPr>
        <w:t>其他支出</w:t>
      </w:r>
      <w:r>
        <w:rPr>
          <w:rStyle w:val="15"/>
          <w:rFonts w:hint="eastAsia" w:ascii="仿宋_GB2312" w:hAnsi="仿宋_GB2312" w:eastAsia="仿宋_GB2312" w:cs="仿宋_GB2312"/>
          <w:bCs/>
          <w:color w:val="000000"/>
          <w:sz w:val="32"/>
          <w:szCs w:val="32"/>
        </w:rPr>
        <w:t>（项）:</w:t>
      </w:r>
      <w:r>
        <w:rPr>
          <w:rStyle w:val="15"/>
          <w:rFonts w:hint="eastAsia" w:ascii="仿宋_GB2312" w:hAnsi="仿宋_GB2312" w:eastAsia="仿宋_GB2312" w:cs="仿宋_GB2312"/>
          <w:b w:val="0"/>
          <w:bCs/>
          <w:color w:val="000000"/>
          <w:sz w:val="32"/>
          <w:szCs w:val="32"/>
        </w:rPr>
        <w:t>支出决算</w:t>
      </w:r>
      <w:r>
        <w:rPr>
          <w:rStyle w:val="15"/>
          <w:rFonts w:hint="eastAsia" w:ascii="仿宋_GB2312" w:hAnsi="仿宋_GB2312" w:eastAsia="仿宋_GB2312" w:cs="仿宋_GB2312"/>
          <w:b w:val="0"/>
          <w:bCs/>
          <w:color w:val="000000"/>
          <w:sz w:val="32"/>
          <w:szCs w:val="32"/>
          <w:lang w:val="en-US" w:eastAsia="zh-CN"/>
        </w:rPr>
        <w:t>为29.8万</w:t>
      </w:r>
      <w:r>
        <w:rPr>
          <w:rStyle w:val="15"/>
          <w:rFonts w:hint="eastAsia" w:ascii="仿宋_GB2312" w:hAnsi="仿宋_GB2312" w:eastAsia="仿宋_GB2312" w:cs="仿宋_GB2312"/>
          <w:b w:val="0"/>
          <w:bCs/>
          <w:color w:val="000000"/>
          <w:sz w:val="32"/>
          <w:szCs w:val="32"/>
        </w:rPr>
        <w:t>元，完成预算</w:t>
      </w:r>
      <w:r>
        <w:rPr>
          <w:rStyle w:val="15"/>
          <w:rFonts w:hint="eastAsia" w:ascii="仿宋_GB2312" w:hAnsi="仿宋_GB2312" w:eastAsia="仿宋_GB2312" w:cs="仿宋_GB2312"/>
          <w:b w:val="0"/>
          <w:bCs/>
          <w:color w:val="000000"/>
          <w:sz w:val="32"/>
          <w:szCs w:val="32"/>
          <w:lang w:val="en-US" w:eastAsia="zh-CN"/>
        </w:rPr>
        <w:t>100</w:t>
      </w:r>
      <w:r>
        <w:rPr>
          <w:rStyle w:val="15"/>
          <w:rFonts w:hint="eastAsia" w:ascii="仿宋_GB2312" w:hAnsi="仿宋_GB2312" w:eastAsia="仿宋_GB2312" w:cs="仿宋_GB2312"/>
          <w:b w:val="0"/>
          <w:bCs/>
          <w:color w:val="000000"/>
          <w:sz w:val="32"/>
          <w:szCs w:val="32"/>
        </w:rPr>
        <w:t>%，</w:t>
      </w:r>
      <w:r>
        <w:rPr>
          <w:rStyle w:val="15"/>
          <w:rFonts w:hint="eastAsia" w:ascii="仿宋_GB2312" w:hAnsi="仿宋_GB2312" w:eastAsia="仿宋_GB2312" w:cs="仿宋_GB2312"/>
          <w:b w:val="0"/>
          <w:bCs/>
          <w:color w:val="auto"/>
          <w:sz w:val="32"/>
          <w:szCs w:val="32"/>
          <w:highlight w:val="none"/>
        </w:rPr>
        <w:t>决算数</w:t>
      </w:r>
      <w:r>
        <w:rPr>
          <w:rStyle w:val="15"/>
          <w:rFonts w:hint="eastAsia" w:ascii="仿宋_GB2312" w:hAnsi="仿宋_GB2312" w:eastAsia="仿宋_GB2312" w:cs="仿宋_GB2312"/>
          <w:b w:val="0"/>
          <w:bCs/>
          <w:color w:val="auto"/>
          <w:sz w:val="32"/>
          <w:szCs w:val="32"/>
          <w:highlight w:val="none"/>
          <w:lang w:val="en-US" w:eastAsia="zh-CN"/>
        </w:rPr>
        <w:t>与</w:t>
      </w:r>
      <w:r>
        <w:rPr>
          <w:rStyle w:val="15"/>
          <w:rFonts w:hint="eastAsia" w:ascii="仿宋_GB2312" w:hAnsi="仿宋_GB2312" w:eastAsia="仿宋_GB2312" w:cs="仿宋_GB2312"/>
          <w:b w:val="0"/>
          <w:bCs/>
          <w:color w:val="auto"/>
          <w:sz w:val="32"/>
          <w:szCs w:val="32"/>
          <w:highlight w:val="none"/>
        </w:rPr>
        <w:t>预算数</w:t>
      </w:r>
      <w:r>
        <w:rPr>
          <w:rStyle w:val="15"/>
          <w:rFonts w:hint="eastAsia" w:ascii="仿宋_GB2312" w:hAnsi="仿宋_GB2312" w:eastAsia="仿宋_GB2312" w:cs="仿宋_GB2312"/>
          <w:b w:val="0"/>
          <w:bCs/>
          <w:color w:val="auto"/>
          <w:sz w:val="32"/>
          <w:szCs w:val="32"/>
          <w:highlight w:val="none"/>
          <w:lang w:val="en-US" w:eastAsia="zh-CN"/>
        </w:rPr>
        <w:t>持平</w:t>
      </w:r>
      <w:r>
        <w:rPr>
          <w:rStyle w:val="15"/>
          <w:rFonts w:hint="eastAsia" w:ascii="仿宋_GB2312" w:hAnsi="仿宋_GB2312" w:eastAsia="仿宋_GB2312" w:cs="仿宋_GB2312"/>
          <w:b w:val="0"/>
          <w:bCs/>
          <w:color w:val="auto"/>
          <w:sz w:val="32"/>
          <w:szCs w:val="32"/>
          <w:highlight w:val="none"/>
        </w:rPr>
        <w:t>。</w:t>
      </w:r>
    </w:p>
    <w:p>
      <w:pPr>
        <w:tabs>
          <w:tab w:val="right" w:pos="8306"/>
        </w:tabs>
        <w:spacing w:line="600" w:lineRule="exact"/>
        <w:ind w:firstLine="640"/>
        <w:outlineLvl w:val="1"/>
        <w:rPr>
          <w:rStyle w:val="18"/>
          <w:color w:val="auto"/>
          <w:highlight w:val="none"/>
        </w:rPr>
      </w:pPr>
      <w:bookmarkStart w:id="55" w:name="_Toc15396608"/>
      <w:bookmarkStart w:id="56" w:name="_Toc2008211218_WPSOffice_Level2"/>
      <w:bookmarkStart w:id="57" w:name="_Toc15377214"/>
      <w:bookmarkStart w:id="58" w:name="_Toc22971"/>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8"/>
          <w:rFonts w:hint="eastAsia" w:ascii="黑体" w:hAnsi="黑体" w:eastAsia="黑体"/>
          <w:b w:val="0"/>
          <w:color w:val="auto"/>
          <w:highlight w:val="none"/>
        </w:rPr>
        <w:t>般公共预算财政拨款基本支出决算情况说明</w:t>
      </w:r>
      <w:bookmarkEnd w:id="55"/>
      <w:bookmarkEnd w:id="56"/>
      <w:bookmarkEnd w:id="57"/>
      <w:bookmarkEnd w:id="58"/>
      <w:r>
        <w:rPr>
          <w:rStyle w:val="18"/>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1743.61</w:t>
      </w:r>
      <w:r>
        <w:rPr>
          <w:rFonts w:hint="eastAsia" w:ascii="仿宋" w:hAnsi="仿宋" w:eastAsia="仿宋"/>
          <w:color w:val="auto"/>
          <w:sz w:val="32"/>
          <w:szCs w:val="32"/>
          <w:highlight w:val="none"/>
        </w:rPr>
        <w:t>万元，其中：</w:t>
      </w:r>
    </w:p>
    <w:p>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1543.55</w:t>
      </w:r>
      <w:r>
        <w:rPr>
          <w:rFonts w:hint="eastAsia" w:ascii="仿宋" w:hAnsi="仿宋" w:eastAsia="仿宋"/>
          <w:color w:val="auto"/>
          <w:sz w:val="32"/>
          <w:szCs w:val="32"/>
          <w:highlight w:val="none"/>
        </w:rPr>
        <w:t>万元，主要包括：基本工资、津贴补贴、奖金、伙食补助费、绩效工资、机关事业单位基本养老保险缴费、职业年金缴费、</w:t>
      </w:r>
      <w:r>
        <w:rPr>
          <w:rFonts w:hint="eastAsia" w:ascii="仿宋_GB2312" w:hAnsi="仿宋_GB2312" w:eastAsia="仿宋_GB2312" w:cs="仿宋_GB2312"/>
          <w:color w:val="auto"/>
          <w:sz w:val="32"/>
          <w:szCs w:val="32"/>
          <w:highlight w:val="none"/>
          <w:lang w:val="en-US" w:eastAsia="zh-CN"/>
        </w:rPr>
        <w:t>职工基本医疗保险缴费、</w:t>
      </w:r>
      <w:r>
        <w:rPr>
          <w:rFonts w:hint="eastAsia" w:ascii="仿宋" w:hAnsi="仿宋" w:eastAsia="仿宋"/>
          <w:color w:val="auto"/>
          <w:sz w:val="32"/>
          <w:szCs w:val="32"/>
          <w:highlight w:val="none"/>
        </w:rPr>
        <w:t>其他社会保障缴费、住房公积金、其他工资福利支出、抚恤金、生活补助、奖励金、其他对个人和家庭的补助。</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w:t>
      </w:r>
      <w:r>
        <w:rPr>
          <w:rFonts w:hint="eastAsia" w:ascii="仿宋" w:hAnsi="仿宋" w:eastAsia="仿宋"/>
          <w:color w:val="auto"/>
          <w:sz w:val="32"/>
          <w:szCs w:val="32"/>
          <w:highlight w:val="none"/>
          <w:lang w:val="en-US" w:eastAsia="zh-CN"/>
        </w:rPr>
        <w:t>200.06</w:t>
      </w:r>
      <w:r>
        <w:rPr>
          <w:rFonts w:hint="eastAsia" w:ascii="仿宋" w:hAnsi="仿宋" w:eastAsia="仿宋"/>
          <w:color w:val="auto"/>
          <w:sz w:val="32"/>
          <w:szCs w:val="32"/>
          <w:highlight w:val="none"/>
        </w:rPr>
        <w:t>万元，主要包括：办公费、印刷费、咨询费、水费、电费、邮电费、物业管理费、差旅费、维修（护）费、会议费、培训费、公务接待费、劳务费、工会经费、福利费、公务用车运行维护费、其他交通费</w:t>
      </w:r>
      <w:r>
        <w:rPr>
          <w:rFonts w:hint="eastAsia" w:ascii="仿宋" w:hAnsi="仿宋" w:eastAsia="仿宋"/>
          <w:color w:val="auto"/>
          <w:sz w:val="32"/>
          <w:szCs w:val="32"/>
          <w:highlight w:val="none"/>
          <w:lang w:val="en-US" w:eastAsia="zh-CN"/>
        </w:rPr>
        <w:t>用</w:t>
      </w:r>
      <w:r>
        <w:rPr>
          <w:rFonts w:hint="eastAsia" w:ascii="仿宋" w:hAnsi="仿宋" w:eastAsia="仿宋"/>
          <w:color w:val="auto"/>
          <w:sz w:val="32"/>
          <w:szCs w:val="32"/>
          <w:highlight w:val="none"/>
        </w:rPr>
        <w:t>、其他商品和服务支出。</w:t>
      </w:r>
    </w:p>
    <w:p>
      <w:pPr>
        <w:spacing w:line="600" w:lineRule="exact"/>
        <w:ind w:firstLine="640"/>
        <w:outlineLvl w:val="1"/>
        <w:rPr>
          <w:rStyle w:val="18"/>
          <w:rFonts w:ascii="黑体" w:hAnsi="黑体" w:eastAsia="黑体"/>
          <w:b w:val="0"/>
          <w:color w:val="auto"/>
          <w:highlight w:val="none"/>
        </w:rPr>
      </w:pPr>
      <w:bookmarkStart w:id="59" w:name="_Toc1449742990_WPSOffice_Level2"/>
      <w:bookmarkStart w:id="60" w:name="_Toc15396609"/>
      <w:bookmarkStart w:id="61" w:name="_Toc11507"/>
      <w:bookmarkStart w:id="62" w:name="_Toc15377215"/>
      <w:r>
        <w:rPr>
          <w:rFonts w:hint="eastAsia" w:ascii="黑体" w:eastAsia="黑体"/>
          <w:color w:val="auto"/>
          <w:sz w:val="32"/>
          <w:szCs w:val="32"/>
          <w:highlight w:val="none"/>
        </w:rPr>
        <w:t>七、</w:t>
      </w:r>
      <w:r>
        <w:rPr>
          <w:rStyle w:val="18"/>
          <w:rFonts w:hint="eastAsia" w:ascii="黑体" w:hAnsi="黑体" w:eastAsia="黑体"/>
          <w:b w:val="0"/>
          <w:color w:val="auto"/>
          <w:highlight w:val="none"/>
        </w:rPr>
        <w:t>财政拨款</w:t>
      </w:r>
      <w:r>
        <w:rPr>
          <w:rStyle w:val="18"/>
          <w:rFonts w:hint="eastAsia" w:ascii="黑体" w:hAnsi="黑体" w:eastAsia="黑体"/>
          <w:color w:val="auto"/>
          <w:highlight w:val="none"/>
        </w:rPr>
        <w:t>“</w:t>
      </w:r>
      <w:r>
        <w:rPr>
          <w:rStyle w:val="18"/>
          <w:rFonts w:hint="eastAsia" w:ascii="黑体" w:hAnsi="黑体" w:eastAsia="黑体"/>
          <w:b w:val="0"/>
          <w:color w:val="auto"/>
          <w:highlight w:val="none"/>
        </w:rPr>
        <w:t>三公”经费支出决算情况说明</w:t>
      </w:r>
      <w:bookmarkEnd w:id="59"/>
      <w:bookmarkEnd w:id="60"/>
      <w:bookmarkEnd w:id="61"/>
      <w:bookmarkEnd w:id="62"/>
    </w:p>
    <w:p>
      <w:pPr>
        <w:spacing w:line="600" w:lineRule="exact"/>
        <w:ind w:firstLine="640"/>
        <w:outlineLvl w:val="2"/>
        <w:rPr>
          <w:rFonts w:ascii="仿宋" w:hAnsi="仿宋" w:eastAsia="仿宋"/>
          <w:b/>
          <w:color w:val="auto"/>
          <w:sz w:val="32"/>
          <w:szCs w:val="32"/>
          <w:highlight w:val="none"/>
        </w:rPr>
      </w:pPr>
      <w:bookmarkStart w:id="63" w:name="_Toc15377216"/>
      <w:r>
        <w:rPr>
          <w:rFonts w:hint="eastAsia" w:ascii="仿宋" w:hAnsi="仿宋" w:eastAsia="仿宋"/>
          <w:b/>
          <w:color w:val="auto"/>
          <w:sz w:val="32"/>
          <w:szCs w:val="32"/>
          <w:highlight w:val="none"/>
        </w:rPr>
        <w:t>（一）“三公”经费财政拨款支出决算总体情况说明</w:t>
      </w:r>
      <w:bookmarkEnd w:id="63"/>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11.5</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66.86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w:t>
      </w:r>
      <w:r>
        <w:rPr>
          <w:rFonts w:hint="eastAsia" w:ascii="仿宋" w:hAnsi="仿宋" w:eastAsia="仿宋"/>
          <w:color w:val="auto"/>
          <w:sz w:val="32"/>
          <w:szCs w:val="32"/>
          <w:highlight w:val="none"/>
          <w:lang w:val="en-US" w:eastAsia="zh-CN"/>
        </w:rPr>
        <w:t>减少6.18元，下降34.95%。</w:t>
      </w:r>
      <w:r>
        <w:rPr>
          <w:rFonts w:hint="eastAsia" w:ascii="仿宋" w:hAnsi="仿宋" w:eastAsia="仿宋"/>
          <w:color w:val="auto"/>
          <w:sz w:val="32"/>
          <w:szCs w:val="32"/>
          <w:highlight w:val="none"/>
        </w:rPr>
        <w:t>决算数小于预算数的主要原因</w:t>
      </w:r>
      <w:r>
        <w:rPr>
          <w:rFonts w:hint="eastAsia" w:ascii="仿宋" w:hAnsi="仿宋" w:eastAsia="仿宋"/>
          <w:color w:val="auto"/>
          <w:sz w:val="32"/>
          <w:szCs w:val="32"/>
          <w:highlight w:val="none"/>
          <w:lang w:eastAsia="zh-CN"/>
        </w:rPr>
        <w:t>一是</w:t>
      </w:r>
      <w:r>
        <w:rPr>
          <w:rFonts w:hint="eastAsia" w:ascii="仿宋" w:hAnsi="仿宋" w:eastAsia="仿宋"/>
          <w:color w:val="auto"/>
          <w:sz w:val="32"/>
          <w:szCs w:val="32"/>
          <w:highlight w:val="none"/>
          <w:lang w:val="en-US" w:eastAsia="zh-CN"/>
        </w:rPr>
        <w:t>2022年对“三公”经费预算进行了压减；二是在执行中</w:t>
      </w:r>
      <w:r>
        <w:rPr>
          <w:rFonts w:hint="eastAsia" w:ascii="仿宋_GB2312" w:hAnsi="仿宋_GB2312" w:eastAsia="仿宋_GB2312" w:cs="仿宋_GB2312"/>
          <w:color w:val="auto"/>
          <w:sz w:val="32"/>
          <w:szCs w:val="32"/>
          <w:highlight w:val="none"/>
          <w:lang w:val="en-US" w:eastAsia="zh-CN"/>
        </w:rPr>
        <w:t>压减公务接待支出和公务用车运行维护支出</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64" w:name="_Toc15377217"/>
      <w:r>
        <w:rPr>
          <w:rFonts w:hint="eastAsia" w:ascii="仿宋" w:hAnsi="仿宋" w:eastAsia="仿宋"/>
          <w:b/>
          <w:color w:val="auto"/>
          <w:sz w:val="32"/>
          <w:szCs w:val="32"/>
          <w:highlight w:val="none"/>
        </w:rPr>
        <w:t>（二）“三公”经费财政拨款支出决算具体情况说明</w:t>
      </w:r>
      <w:bookmarkEnd w:id="64"/>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10.18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88.52</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1.32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11.48</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（图7：“三公”经费财政拨款支出结构）（饼状图）</w:t>
      </w:r>
    </w:p>
    <w:p>
      <w:pPr>
        <w:pStyle w:val="2"/>
        <w:ind w:left="0" w:leftChars="0" w:firstLine="0" w:firstLineChars="0"/>
        <w:jc w:val="center"/>
        <w:rPr>
          <w:rFonts w:hint="default" w:ascii="仿宋_GB2312" w:eastAsia="仿宋_GB2312"/>
          <w:b/>
          <w:color w:val="auto"/>
          <w:sz w:val="32"/>
          <w:szCs w:val="32"/>
          <w:highlight w:val="none"/>
          <w:lang w:val="en-US" w:eastAsia="zh-CN"/>
        </w:rPr>
      </w:pPr>
      <w:r>
        <w:drawing>
          <wp:inline distT="0" distB="0" distL="114300" distR="114300">
            <wp:extent cx="2955290" cy="2138680"/>
            <wp:effectExtent l="4445" t="4445" r="12065" b="952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pPr>
        <w:numPr>
          <w:ilvl w:val="0"/>
          <w:numId w:val="0"/>
        </w:numPr>
        <w:spacing w:line="600" w:lineRule="exact"/>
        <w:ind w:firstLine="642" w:firstLineChars="200"/>
        <w:rPr>
          <w:rFonts w:hint="eastAsia" w:ascii="仿宋_GB2312" w:hAnsi="仿宋_GB2312" w:eastAsia="仿宋_GB2312" w:cs="仿宋_GB2312"/>
          <w:color w:val="auto"/>
          <w:sz w:val="32"/>
          <w:szCs w:val="32"/>
          <w:highlight w:val="none"/>
        </w:rPr>
      </w:pPr>
      <w:r>
        <w:rPr>
          <w:rFonts w:hint="eastAsia" w:ascii="仿宋_GB2312" w:eastAsia="仿宋_GB2312"/>
          <w:b/>
          <w:color w:val="auto"/>
          <w:sz w:val="32"/>
          <w:szCs w:val="32"/>
          <w:highlight w:val="none"/>
          <w:lang w:val="en-US" w:eastAsia="zh-CN"/>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hAnsi="仿宋_GB2312" w:eastAsia="仿宋_GB2312" w:cs="仿宋_GB2312"/>
          <w:b w:val="0"/>
          <w:bCs/>
          <w:color w:val="auto"/>
          <w:sz w:val="32"/>
          <w:szCs w:val="32"/>
          <w:highlight w:val="none"/>
          <w:lang w:val="en-US" w:eastAsia="zh-CN"/>
        </w:rPr>
        <w:t>年初未安排预算</w:t>
      </w:r>
      <w:r>
        <w:rPr>
          <w:rStyle w:val="15"/>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color w:val="auto"/>
          <w:sz w:val="32"/>
          <w:szCs w:val="32"/>
          <w:highlight w:val="none"/>
        </w:rPr>
        <w:t>因公出国（境）支出决算</w:t>
      </w:r>
      <w:r>
        <w:rPr>
          <w:rFonts w:hint="eastAsia" w:ascii="仿宋_GB2312" w:hAnsi="仿宋_GB2312" w:eastAsia="仿宋_GB2312" w:cs="仿宋_GB2312"/>
          <w:color w:val="auto"/>
          <w:sz w:val="32"/>
          <w:szCs w:val="32"/>
          <w:highlight w:val="none"/>
          <w:lang w:val="en-US" w:eastAsia="zh-CN"/>
        </w:rPr>
        <w:t>较</w:t>
      </w: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无变化</w:t>
      </w:r>
      <w:r>
        <w:rPr>
          <w:rFonts w:hint="eastAsia" w:ascii="仿宋_GB2312" w:hAnsi="仿宋_GB2312" w:eastAsia="仿宋_GB2312" w:cs="仿宋_GB2312"/>
          <w:color w:val="auto"/>
          <w:sz w:val="32"/>
          <w:szCs w:val="32"/>
          <w:highlight w:val="none"/>
        </w:rPr>
        <w:t>。</w:t>
      </w:r>
    </w:p>
    <w:p>
      <w:pPr>
        <w:numPr>
          <w:ilvl w:val="0"/>
          <w:numId w:val="0"/>
        </w:numPr>
        <w:spacing w:line="600" w:lineRule="exact"/>
        <w:ind w:firstLine="642" w:firstLineChars="20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10.18</w:t>
      </w:r>
      <w:r>
        <w:rPr>
          <w:rFonts w:hint="eastAsia" w:ascii="仿宋_GB2312" w:eastAsia="仿宋_GB2312"/>
          <w:color w:val="auto"/>
          <w:sz w:val="32"/>
          <w:szCs w:val="32"/>
          <w:highlight w:val="none"/>
        </w:rPr>
        <w:t>万元,</w:t>
      </w:r>
      <w:r>
        <w:rPr>
          <w:rStyle w:val="15"/>
          <w:rFonts w:hint="eastAsia" w:ascii="仿宋" w:hAnsi="仿宋" w:eastAsia="仿宋"/>
          <w:b w:val="0"/>
          <w:bCs/>
          <w:color w:val="auto"/>
          <w:sz w:val="32"/>
          <w:szCs w:val="32"/>
          <w:highlight w:val="none"/>
        </w:rPr>
        <w:t>完成预算</w:t>
      </w:r>
      <w:r>
        <w:rPr>
          <w:rStyle w:val="15"/>
          <w:rFonts w:hint="eastAsia" w:ascii="仿宋" w:hAnsi="仿宋" w:eastAsia="仿宋"/>
          <w:b w:val="0"/>
          <w:bCs/>
          <w:color w:val="auto"/>
          <w:sz w:val="32"/>
          <w:szCs w:val="32"/>
          <w:highlight w:val="none"/>
          <w:lang w:val="en-US" w:eastAsia="zh-CN"/>
        </w:rPr>
        <w:t>72.71</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5.9</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36.69</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w:t>
      </w:r>
      <w:r>
        <w:rPr>
          <w:rFonts w:hint="eastAsia" w:ascii="仿宋_GB2312" w:hAnsi="仿宋_GB2312" w:eastAsia="仿宋_GB2312" w:cs="仿宋_GB2312"/>
          <w:color w:val="auto"/>
          <w:sz w:val="32"/>
          <w:szCs w:val="32"/>
          <w:highlight w:val="none"/>
        </w:rPr>
        <w:t>是</w:t>
      </w:r>
      <w:r>
        <w:rPr>
          <w:rFonts w:hint="eastAsia" w:ascii="仿宋_GB2312" w:hAnsi="仿宋_GB2312" w:eastAsia="仿宋_GB2312" w:cs="仿宋_GB2312"/>
          <w:color w:val="auto"/>
          <w:sz w:val="32"/>
          <w:szCs w:val="32"/>
          <w:highlight w:val="none"/>
          <w:lang w:val="en-US" w:eastAsia="zh-CN"/>
        </w:rPr>
        <w:t>2022年公务用车购置及运行维护费预算进行了压减，同时严格车辆管理，压减</w:t>
      </w:r>
      <w:r>
        <w:rPr>
          <w:rFonts w:hint="eastAsia" w:ascii="仿宋_GB2312" w:hAnsi="仿宋_GB2312" w:eastAsia="仿宋_GB2312" w:cs="仿宋_GB2312"/>
          <w:color w:val="auto"/>
          <w:sz w:val="32"/>
          <w:szCs w:val="32"/>
          <w:highlight w:val="none"/>
        </w:rPr>
        <w:t>公务用车运行维护费支出</w:t>
      </w:r>
      <w:r>
        <w:rPr>
          <w:rFonts w:hint="eastAsia" w:ascii="仿宋_GB2312" w:hAnsi="仿宋_GB2312" w:eastAsia="仿宋_GB2312" w:cs="仿宋_GB2312"/>
          <w:color w:val="auto"/>
          <w:sz w:val="32"/>
          <w:szCs w:val="32"/>
          <w:highlight w:val="none"/>
          <w:lang w:val="en-US" w:eastAsia="zh-CN"/>
        </w:rPr>
        <w:t>。</w:t>
      </w:r>
    </w:p>
    <w:p>
      <w:pPr>
        <w:spacing w:line="600" w:lineRule="exact"/>
        <w:ind w:firstLine="640" w:firstLineChars="200"/>
        <w:rPr>
          <w:rFonts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sz w:val="32"/>
          <w:szCs w:val="32"/>
          <w:highlight w:val="none"/>
        </w:rPr>
        <w:t>截至20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年12月底，</w:t>
      </w:r>
      <w:r>
        <w:rPr>
          <w:rFonts w:hint="eastAsia" w:ascii="仿宋_GB2312" w:hAnsi="仿宋_GB2312" w:eastAsia="仿宋_GB2312" w:cs="仿宋_GB2312"/>
          <w:color w:val="auto"/>
          <w:sz w:val="32"/>
          <w:szCs w:val="32"/>
          <w:highlight w:val="none"/>
          <w:lang w:eastAsia="zh-CN"/>
        </w:rPr>
        <w:t>单位</w:t>
      </w:r>
      <w:r>
        <w:rPr>
          <w:rFonts w:hint="eastAsia" w:ascii="仿宋_GB2312" w:hAnsi="仿宋_GB2312" w:eastAsia="仿宋_GB2312" w:cs="仿宋_GB2312"/>
          <w:color w:val="auto"/>
          <w:sz w:val="32"/>
          <w:szCs w:val="32"/>
          <w:highlight w:val="none"/>
        </w:rPr>
        <w:t>共有公务用车</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辆，其中：越野车</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辆。</w:t>
      </w:r>
    </w:p>
    <w:p>
      <w:pPr>
        <w:keepNext w:val="0"/>
        <w:keepLines w:val="0"/>
        <w:pageBreakBefore w:val="0"/>
        <w:widowControl w:val="0"/>
        <w:kinsoku/>
        <w:wordWrap/>
        <w:overflowPunct/>
        <w:topLinePunct w:val="0"/>
        <w:bidi w:val="0"/>
        <w:spacing w:line="576" w:lineRule="exact"/>
        <w:ind w:firstLine="642" w:firstLineChars="200"/>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10.18</w:t>
      </w:r>
      <w:r>
        <w:rPr>
          <w:rFonts w:hint="eastAsia" w:ascii="仿宋_GB2312" w:eastAsia="仿宋_GB2312"/>
          <w:color w:val="auto"/>
          <w:sz w:val="32"/>
          <w:szCs w:val="32"/>
          <w:highlight w:val="none"/>
        </w:rPr>
        <w:t>万元。</w:t>
      </w:r>
      <w:r>
        <w:rPr>
          <w:rFonts w:hint="eastAsia" w:ascii="仿宋_GB2312" w:hAnsi="仿宋_GB2312" w:eastAsia="仿宋_GB2312" w:cs="仿宋_GB2312"/>
          <w:color w:val="000000"/>
          <w:sz w:val="32"/>
          <w:szCs w:val="32"/>
        </w:rPr>
        <w:t>主要用于开展财政</w:t>
      </w:r>
      <w:r>
        <w:rPr>
          <w:rFonts w:hint="eastAsia" w:ascii="仿宋_GB2312" w:hAnsi="仿宋_GB2312" w:eastAsia="仿宋_GB2312" w:cs="仿宋_GB2312"/>
          <w:color w:val="000000"/>
          <w:sz w:val="32"/>
          <w:szCs w:val="32"/>
          <w:lang w:val="en-US" w:eastAsia="zh-CN"/>
        </w:rPr>
        <w:t>调研及检查指导</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乡村振兴</w:t>
      </w:r>
      <w:r>
        <w:rPr>
          <w:rFonts w:hint="eastAsia" w:ascii="仿宋_GB2312" w:hAnsi="仿宋_GB2312" w:eastAsia="仿宋_GB2312" w:cs="仿宋_GB2312"/>
          <w:color w:val="000000"/>
          <w:sz w:val="32"/>
          <w:szCs w:val="32"/>
        </w:rPr>
        <w:t>等</w:t>
      </w:r>
      <w:r>
        <w:rPr>
          <w:rFonts w:hint="eastAsia" w:ascii="仿宋_GB2312" w:hAnsi="仿宋_GB2312" w:eastAsia="仿宋_GB2312" w:cs="仿宋_GB2312"/>
          <w:color w:val="000000"/>
          <w:sz w:val="32"/>
          <w:szCs w:val="32"/>
          <w:lang w:val="en-US" w:eastAsia="zh-CN"/>
        </w:rPr>
        <w:t>工作</w:t>
      </w:r>
      <w:r>
        <w:rPr>
          <w:rFonts w:hint="eastAsia" w:ascii="仿宋_GB2312" w:hAnsi="仿宋_GB2312" w:eastAsia="仿宋_GB2312" w:cs="仿宋_GB2312"/>
          <w:color w:val="000000"/>
          <w:sz w:val="32"/>
          <w:szCs w:val="32"/>
        </w:rPr>
        <w:t>所需的公务用车燃料费、维修费、过路过桥费、保险费等支出。</w:t>
      </w:r>
    </w:p>
    <w:p>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1.32</w:t>
      </w:r>
      <w:r>
        <w:rPr>
          <w:rFonts w:hint="eastAsia" w:ascii="仿宋_GB2312" w:eastAsia="仿宋_GB2312"/>
          <w:color w:val="auto"/>
          <w:sz w:val="32"/>
          <w:szCs w:val="32"/>
          <w:highlight w:val="none"/>
        </w:rPr>
        <w:t>万元，</w:t>
      </w:r>
      <w:r>
        <w:rPr>
          <w:rStyle w:val="15"/>
          <w:rFonts w:hint="eastAsia" w:ascii="仿宋" w:hAnsi="仿宋" w:eastAsia="仿宋"/>
          <w:b w:val="0"/>
          <w:bCs/>
          <w:color w:val="auto"/>
          <w:sz w:val="32"/>
          <w:szCs w:val="32"/>
          <w:highlight w:val="none"/>
        </w:rPr>
        <w:t>完成预算</w:t>
      </w:r>
      <w:r>
        <w:rPr>
          <w:rStyle w:val="15"/>
          <w:rFonts w:hint="eastAsia" w:ascii="仿宋" w:hAnsi="仿宋" w:eastAsia="仿宋"/>
          <w:b w:val="0"/>
          <w:bCs/>
          <w:color w:val="auto"/>
          <w:sz w:val="32"/>
          <w:szCs w:val="32"/>
          <w:highlight w:val="none"/>
          <w:lang w:val="en-US" w:eastAsia="zh-CN"/>
        </w:rPr>
        <w:t>41.25</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0.28</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17.5</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r>
        <w:rPr>
          <w:rFonts w:hint="eastAsia" w:ascii="仿宋_GB2312" w:hAnsi="仿宋_GB2312" w:eastAsia="仿宋_GB2312" w:cs="仿宋_GB2312"/>
          <w:color w:val="000000"/>
          <w:sz w:val="32"/>
          <w:szCs w:val="32"/>
        </w:rPr>
        <w:t>主要原因是在接待过程中严格执行中央八项规定精神、省委省政府十项规定、市委“六个带头”及其实施细则，控制接待标准，限制陪同人数，接待费开支有所下降。</w:t>
      </w:r>
      <w:r>
        <w:rPr>
          <w:rFonts w:hint="eastAsia" w:ascii="仿宋_GB2312" w:eastAsia="仿宋_GB2312"/>
          <w:color w:val="auto"/>
          <w:sz w:val="32"/>
          <w:szCs w:val="32"/>
          <w:highlight w:val="none"/>
        </w:rPr>
        <w:t>其中：</w:t>
      </w:r>
    </w:p>
    <w:p>
      <w:pPr>
        <w:spacing w:line="600" w:lineRule="exact"/>
        <w:ind w:firstLine="64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1.32</w:t>
      </w:r>
      <w:r>
        <w:rPr>
          <w:rFonts w:hint="eastAsia" w:ascii="仿宋_GB2312" w:eastAsia="仿宋_GB2312"/>
          <w:color w:val="auto"/>
          <w:sz w:val="32"/>
          <w:szCs w:val="32"/>
          <w:highlight w:val="none"/>
        </w:rPr>
        <w:t>万元，</w:t>
      </w:r>
      <w:r>
        <w:rPr>
          <w:rFonts w:hint="eastAsia" w:ascii="仿宋_GB2312" w:hAnsi="仿宋_GB2312" w:eastAsia="仿宋_GB2312" w:cs="仿宋_GB2312"/>
          <w:color w:val="000000"/>
          <w:sz w:val="32"/>
          <w:szCs w:val="32"/>
        </w:rPr>
        <w:t>主要用于执行公务、开展业务活动开支的用餐费等</w:t>
      </w:r>
      <w:r>
        <w:rPr>
          <w:rFonts w:hint="eastAsia" w:ascii="仿宋_GB2312" w:hAnsi="仿宋_GB2312" w:eastAsia="仿宋_GB2312" w:cs="仿宋_GB2312"/>
          <w:color w:val="auto"/>
          <w:sz w:val="32"/>
          <w:szCs w:val="32"/>
          <w:highlight w:val="none"/>
        </w:rPr>
        <w:t>。</w:t>
      </w:r>
      <w:r>
        <w:rPr>
          <w:rFonts w:hint="eastAsia" w:ascii="仿宋_GB2312" w:eastAsia="仿宋_GB2312"/>
          <w:color w:val="auto"/>
          <w:sz w:val="32"/>
          <w:szCs w:val="32"/>
          <w:highlight w:val="none"/>
        </w:rPr>
        <w:t>国内公务接待</w:t>
      </w:r>
      <w:r>
        <w:rPr>
          <w:rFonts w:hint="eastAsia" w:ascii="仿宋_GB2312" w:eastAsia="仿宋_GB2312"/>
          <w:color w:val="auto"/>
          <w:sz w:val="32"/>
          <w:szCs w:val="32"/>
          <w:highlight w:val="none"/>
          <w:lang w:val="en-US" w:eastAsia="zh-CN"/>
        </w:rPr>
        <w:t>10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115</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1.32</w:t>
      </w:r>
      <w:r>
        <w:rPr>
          <w:rFonts w:hint="eastAsia" w:ascii="仿宋_GB2312" w:eastAsia="仿宋_GB2312"/>
          <w:color w:val="auto"/>
          <w:sz w:val="32"/>
          <w:szCs w:val="32"/>
          <w:highlight w:val="none"/>
        </w:rPr>
        <w:t>万元，具体内容包括：</w:t>
      </w:r>
      <w:r>
        <w:rPr>
          <w:rFonts w:hint="eastAsia" w:ascii="仿宋_GB2312" w:hAnsi="仿宋_GB2312" w:eastAsia="仿宋_GB2312" w:cs="仿宋_GB2312"/>
          <w:color w:val="auto"/>
          <w:sz w:val="32"/>
          <w:szCs w:val="32"/>
          <w:highlight w:val="none"/>
        </w:rPr>
        <w:t>具体内容包括：</w:t>
      </w:r>
      <w:r>
        <w:rPr>
          <w:rFonts w:hint="eastAsia" w:ascii="仿宋_GB2312" w:hAnsi="仿宋_GB2312" w:eastAsia="仿宋_GB2312" w:cs="仿宋_GB2312"/>
          <w:color w:val="000000"/>
          <w:sz w:val="32"/>
          <w:szCs w:val="32"/>
        </w:rPr>
        <w:t>省财政厅及上级部门各类检查调研、</w:t>
      </w:r>
      <w:r>
        <w:rPr>
          <w:rFonts w:hint="eastAsia" w:ascii="仿宋_GB2312" w:hAnsi="仿宋_GB2312" w:eastAsia="仿宋_GB2312" w:cs="仿宋_GB2312"/>
          <w:color w:val="000000"/>
          <w:sz w:val="32"/>
          <w:szCs w:val="32"/>
          <w:lang w:eastAsia="zh-CN"/>
        </w:rPr>
        <w:t>其他市县及我市</w:t>
      </w:r>
      <w:r>
        <w:rPr>
          <w:rFonts w:hint="eastAsia" w:ascii="仿宋_GB2312" w:hAnsi="仿宋_GB2312" w:eastAsia="仿宋_GB2312" w:cs="仿宋_GB2312"/>
          <w:color w:val="000000"/>
          <w:sz w:val="32"/>
          <w:szCs w:val="32"/>
        </w:rPr>
        <w:t>县区财政局来我</w:t>
      </w:r>
      <w:r>
        <w:rPr>
          <w:rFonts w:hint="eastAsia" w:ascii="仿宋_GB2312" w:hAnsi="仿宋_GB2312" w:eastAsia="仿宋_GB2312" w:cs="仿宋_GB2312"/>
          <w:color w:val="000000"/>
          <w:sz w:val="32"/>
          <w:szCs w:val="32"/>
          <w:lang w:eastAsia="zh-CN"/>
        </w:rPr>
        <w:t>部门</w:t>
      </w:r>
      <w:r>
        <w:rPr>
          <w:rFonts w:hint="eastAsia" w:ascii="仿宋_GB2312" w:hAnsi="仿宋_GB2312" w:eastAsia="仿宋_GB2312" w:cs="仿宋_GB2312"/>
          <w:color w:val="000000"/>
          <w:sz w:val="32"/>
          <w:szCs w:val="32"/>
        </w:rPr>
        <w:t>交流</w:t>
      </w:r>
      <w:r>
        <w:rPr>
          <w:rFonts w:hint="eastAsia" w:ascii="仿宋_GB2312" w:hAnsi="仿宋_GB2312" w:eastAsia="仿宋_GB2312" w:cs="仿宋_GB2312"/>
          <w:sz w:val="32"/>
          <w:szCs w:val="32"/>
        </w:rPr>
        <w:t>汇报等</w:t>
      </w:r>
      <w:r>
        <w:rPr>
          <w:rFonts w:hint="eastAsia" w:ascii="仿宋_GB2312" w:hAnsi="仿宋_GB2312" w:eastAsia="仿宋_GB2312" w:cs="仿宋_GB2312"/>
          <w:color w:val="000000"/>
          <w:sz w:val="32"/>
          <w:szCs w:val="32"/>
        </w:rPr>
        <w:t>。</w:t>
      </w:r>
    </w:p>
    <w:p>
      <w:pPr>
        <w:spacing w:line="600" w:lineRule="exact"/>
        <w:ind w:firstLine="642" w:firstLineChars="200"/>
        <w:rPr>
          <w:rFonts w:hint="eastAsia" w:ascii="仿宋_GB2312" w:eastAsia="仿宋_GB2312"/>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2022年无外事接待支出。</w:t>
      </w:r>
    </w:p>
    <w:p>
      <w:pPr>
        <w:spacing w:line="600" w:lineRule="exact"/>
        <w:ind w:firstLine="640"/>
        <w:outlineLvl w:val="1"/>
        <w:rPr>
          <w:rStyle w:val="18"/>
          <w:rFonts w:ascii="黑体" w:hAnsi="黑体" w:eastAsia="黑体"/>
          <w:color w:val="auto"/>
          <w:highlight w:val="none"/>
        </w:rPr>
      </w:pPr>
      <w:bookmarkStart w:id="65" w:name="_Toc10324"/>
      <w:bookmarkStart w:id="66" w:name="_Toc1413155180_WPSOffice_Level2"/>
      <w:bookmarkStart w:id="67" w:name="_Toc15377218"/>
      <w:bookmarkStart w:id="68" w:name="_Toc15396610"/>
      <w:r>
        <w:rPr>
          <w:rFonts w:hint="eastAsia" w:ascii="黑体" w:eastAsia="黑体"/>
          <w:color w:val="auto"/>
          <w:sz w:val="32"/>
          <w:szCs w:val="32"/>
          <w:highlight w:val="none"/>
        </w:rPr>
        <w:t>八、</w:t>
      </w:r>
      <w:r>
        <w:rPr>
          <w:rStyle w:val="18"/>
          <w:rFonts w:hint="eastAsia" w:ascii="黑体" w:hAnsi="黑体" w:eastAsia="黑体"/>
          <w:b w:val="0"/>
          <w:color w:val="auto"/>
          <w:highlight w:val="none"/>
        </w:rPr>
        <w:t>政府性基金预算支出决算情况说明</w:t>
      </w:r>
      <w:bookmarkEnd w:id="65"/>
      <w:bookmarkEnd w:id="66"/>
      <w:bookmarkEnd w:id="67"/>
      <w:bookmarkEnd w:id="68"/>
    </w:p>
    <w:p>
      <w:pPr>
        <w:keepNext w:val="0"/>
        <w:keepLines w:val="0"/>
        <w:pageBreakBefore w:val="0"/>
        <w:widowControl w:val="0"/>
        <w:kinsoku/>
        <w:wordWrap/>
        <w:overflowPunct/>
        <w:topLinePunct w:val="0"/>
        <w:bidi w:val="0"/>
        <w:spacing w:line="576" w:lineRule="exact"/>
        <w:ind w:firstLine="640" w:firstLineChars="200"/>
        <w:rPr>
          <w:rFonts w:ascii="仿宋_GB2312" w:eastAsia="仿宋_GB2312"/>
          <w:color w:val="auto"/>
          <w:sz w:val="32"/>
          <w:szCs w:val="32"/>
          <w:highlight w:val="none"/>
        </w:rPr>
      </w:pPr>
      <w:bookmarkStart w:id="69" w:name="_Toc15377219"/>
      <w:bookmarkStart w:id="70" w:name="_Toc15396611"/>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000000"/>
          <w:sz w:val="32"/>
          <w:szCs w:val="32"/>
          <w:highlight w:val="none"/>
        </w:rPr>
        <w:t>202</w:t>
      </w:r>
      <w:r>
        <w:rPr>
          <w:rFonts w:hint="eastAsia" w:ascii="仿宋_GB2312" w:hAnsi="仿宋_GB2312" w:eastAsia="仿宋_GB2312" w:cs="仿宋_GB2312"/>
          <w:color w:val="000000"/>
          <w:sz w:val="32"/>
          <w:szCs w:val="32"/>
          <w:highlight w:val="none"/>
          <w:lang w:val="en-US" w:eastAsia="zh-CN"/>
        </w:rPr>
        <w:t>2</w:t>
      </w:r>
      <w:r>
        <w:rPr>
          <w:rFonts w:hint="eastAsia" w:ascii="仿宋_GB2312" w:hAnsi="仿宋_GB2312" w:eastAsia="仿宋_GB2312" w:cs="仿宋_GB2312"/>
          <w:color w:val="000000"/>
          <w:sz w:val="32"/>
          <w:szCs w:val="32"/>
          <w:highlight w:val="none"/>
        </w:rPr>
        <w:t>年本</w:t>
      </w:r>
      <w:r>
        <w:rPr>
          <w:rFonts w:hint="eastAsia" w:ascii="仿宋_GB2312" w:hAnsi="仿宋_GB2312" w:eastAsia="仿宋_GB2312" w:cs="仿宋_GB2312"/>
          <w:color w:val="000000"/>
          <w:sz w:val="32"/>
          <w:szCs w:val="32"/>
          <w:highlight w:val="none"/>
          <w:lang w:eastAsia="zh-CN"/>
        </w:rPr>
        <w:t>单位</w:t>
      </w:r>
      <w:r>
        <w:rPr>
          <w:rFonts w:hint="eastAsia" w:ascii="仿宋_GB2312" w:hAnsi="仿宋_GB2312" w:eastAsia="仿宋_GB2312" w:cs="仿宋_GB2312"/>
          <w:color w:val="000000"/>
          <w:sz w:val="32"/>
          <w:szCs w:val="32"/>
          <w:highlight w:val="none"/>
        </w:rPr>
        <w:t>未在政府性基金预算</w:t>
      </w:r>
      <w:r>
        <w:rPr>
          <w:rFonts w:hint="eastAsia" w:ascii="仿宋_GB2312" w:eastAsia="仿宋_GB2312"/>
          <w:color w:val="auto"/>
          <w:sz w:val="32"/>
          <w:szCs w:val="32"/>
          <w:highlight w:val="none"/>
          <w:lang w:eastAsia="zh-CN"/>
        </w:rPr>
        <w:t>财政</w:t>
      </w:r>
      <w:r>
        <w:rPr>
          <w:rFonts w:hint="eastAsia" w:ascii="仿宋_GB2312" w:hAnsi="仿宋_GB2312" w:eastAsia="仿宋_GB2312" w:cs="仿宋_GB2312"/>
          <w:color w:val="000000"/>
          <w:sz w:val="32"/>
          <w:szCs w:val="32"/>
          <w:highlight w:val="none"/>
        </w:rPr>
        <w:t>拨款安排“三公”经费支出。</w:t>
      </w:r>
    </w:p>
    <w:p>
      <w:pPr>
        <w:numPr>
          <w:ilvl w:val="0"/>
          <w:numId w:val="2"/>
        </w:numPr>
        <w:spacing w:line="600" w:lineRule="exact"/>
        <w:ind w:firstLine="640"/>
        <w:outlineLvl w:val="1"/>
        <w:rPr>
          <w:rStyle w:val="18"/>
          <w:rFonts w:ascii="黑体" w:hAnsi="黑体" w:eastAsia="黑体"/>
          <w:b w:val="0"/>
          <w:color w:val="auto"/>
          <w:highlight w:val="none"/>
        </w:rPr>
      </w:pPr>
      <w:bookmarkStart w:id="71" w:name="_Toc1793"/>
      <w:bookmarkStart w:id="72" w:name="_Toc23262602_WPSOffice_Level2"/>
      <w:r>
        <w:rPr>
          <w:rStyle w:val="18"/>
          <w:rFonts w:hint="eastAsia" w:ascii="黑体" w:hAnsi="黑体" w:eastAsia="黑体"/>
          <w:b w:val="0"/>
          <w:color w:val="auto"/>
          <w:highlight w:val="none"/>
        </w:rPr>
        <w:t>国有资本经营预算支出决算情况说明</w:t>
      </w:r>
      <w:bookmarkEnd w:id="69"/>
      <w:bookmarkEnd w:id="70"/>
      <w:bookmarkEnd w:id="71"/>
      <w:bookmarkEnd w:id="72"/>
    </w:p>
    <w:p>
      <w:pPr>
        <w:spacing w:line="600" w:lineRule="exact"/>
        <w:ind w:firstLine="640"/>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2"/>
        </w:numPr>
        <w:spacing w:line="600" w:lineRule="exact"/>
        <w:ind w:firstLine="640"/>
        <w:outlineLvl w:val="1"/>
        <w:rPr>
          <w:rStyle w:val="18"/>
          <w:rFonts w:hint="eastAsia" w:ascii="黑体" w:hAnsi="黑体" w:eastAsia="黑体"/>
          <w:b w:val="0"/>
          <w:color w:val="auto"/>
          <w:highlight w:val="none"/>
        </w:rPr>
      </w:pPr>
      <w:bookmarkStart w:id="73" w:name="_Toc15396612"/>
      <w:bookmarkStart w:id="74" w:name="_Toc10431"/>
      <w:bookmarkStart w:id="75" w:name="_Toc15377221"/>
      <w:bookmarkStart w:id="76" w:name="_Toc557873341_WPSOffice_Level2"/>
      <w:r>
        <w:rPr>
          <w:rStyle w:val="18"/>
          <w:rFonts w:hint="eastAsia" w:ascii="黑体" w:hAnsi="黑体" w:eastAsia="黑体"/>
          <w:b w:val="0"/>
          <w:color w:val="auto"/>
          <w:highlight w:val="none"/>
        </w:rPr>
        <w:t>其他重要事项的情况说明</w:t>
      </w:r>
      <w:bookmarkEnd w:id="73"/>
      <w:bookmarkEnd w:id="74"/>
      <w:bookmarkEnd w:id="75"/>
      <w:bookmarkEnd w:id="76"/>
    </w:p>
    <w:p>
      <w:pPr>
        <w:spacing w:line="600" w:lineRule="exact"/>
        <w:ind w:firstLine="642" w:firstLineChars="200"/>
        <w:outlineLvl w:val="2"/>
        <w:rPr>
          <w:rFonts w:ascii="仿宋" w:hAnsi="仿宋" w:eastAsia="仿宋"/>
          <w:color w:val="auto"/>
          <w:sz w:val="32"/>
          <w:szCs w:val="32"/>
          <w:highlight w:val="none"/>
        </w:rPr>
      </w:pPr>
      <w:bookmarkStart w:id="77" w:name="_Toc15377222"/>
      <w:r>
        <w:rPr>
          <w:rFonts w:hint="eastAsia" w:ascii="仿宋" w:hAnsi="仿宋" w:eastAsia="仿宋"/>
          <w:b/>
          <w:color w:val="auto"/>
          <w:sz w:val="32"/>
          <w:szCs w:val="32"/>
          <w:highlight w:val="none"/>
        </w:rPr>
        <w:t>（一）机关运行经费支出情况</w:t>
      </w:r>
      <w:bookmarkEnd w:id="77"/>
    </w:p>
    <w:p>
      <w:pPr>
        <w:keepNext w:val="0"/>
        <w:keepLines w:val="0"/>
        <w:pageBreakBefore w:val="0"/>
        <w:widowControl w:val="0"/>
        <w:kinsoku/>
        <w:wordWrap/>
        <w:overflowPunct/>
        <w:topLinePunct w:val="0"/>
        <w:bidi w:val="0"/>
        <w:spacing w:line="600" w:lineRule="exact"/>
        <w:ind w:firstLine="640" w:firstLineChars="200"/>
        <w:rPr>
          <w:rFonts w:ascii="仿宋" w:hAnsi="仿宋" w:eastAsia="仿宋"/>
          <w:b/>
          <w:color w:val="auto"/>
          <w:sz w:val="32"/>
          <w:szCs w:val="32"/>
          <w:highlight w:val="none"/>
        </w:rPr>
      </w:pPr>
      <w:bookmarkStart w:id="78" w:name="_Toc15377223"/>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广元市财政局</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200.06</w:t>
      </w:r>
      <w:r>
        <w:rPr>
          <w:rFonts w:hint="eastAsia" w:ascii="仿宋_GB2312" w:eastAsia="仿宋_GB2312"/>
          <w:color w:val="auto"/>
          <w:sz w:val="32"/>
          <w:szCs w:val="32"/>
          <w:highlight w:val="none"/>
        </w:rPr>
        <w:t>万元，比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183.66</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47.86</w:t>
      </w:r>
      <w:r>
        <w:rPr>
          <w:rFonts w:ascii="仿宋_GB2312" w:eastAsia="仿宋_GB2312"/>
          <w:color w:val="auto"/>
          <w:sz w:val="32"/>
          <w:szCs w:val="32"/>
          <w:highlight w:val="none"/>
        </w:rPr>
        <w:t>%</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主要原因</w:t>
      </w:r>
      <w:r>
        <w:rPr>
          <w:rFonts w:hint="eastAsia" w:ascii="仿宋_GB2312" w:eastAsia="仿宋_GB2312"/>
          <w:color w:val="auto"/>
          <w:sz w:val="32"/>
          <w:szCs w:val="32"/>
          <w:highlight w:val="none"/>
          <w:lang w:val="en-US" w:eastAsia="zh-CN"/>
        </w:rPr>
        <w:t>一是人员减少引起的运行经费减少；二是2022年无上年结转资金，而2021年运行经费支出中含上年结转经费。</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78"/>
    </w:p>
    <w:p>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hAnsi="仿宋_GB2312" w:eastAsia="仿宋_GB2312" w:cs="仿宋_GB2312"/>
          <w:color w:val="000000"/>
          <w:sz w:val="32"/>
          <w:szCs w:val="32"/>
        </w:rPr>
        <w:t>广元市财政局</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233.96</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87.94</w:t>
      </w:r>
      <w:r>
        <w:rPr>
          <w:rFonts w:hint="eastAsia" w:ascii="仿宋_GB2312" w:eastAsia="仿宋_GB2312"/>
          <w:color w:val="auto"/>
          <w:sz w:val="32"/>
          <w:szCs w:val="32"/>
          <w:highlight w:val="none"/>
        </w:rPr>
        <w:t>万元、政府采购服务支出</w:t>
      </w:r>
      <w:r>
        <w:rPr>
          <w:rFonts w:hint="eastAsia" w:ascii="仿宋_GB2312" w:eastAsia="仿宋_GB2312"/>
          <w:color w:val="auto"/>
          <w:sz w:val="32"/>
          <w:szCs w:val="32"/>
          <w:highlight w:val="none"/>
          <w:lang w:val="en-US" w:eastAsia="zh-CN"/>
        </w:rPr>
        <w:t>146.02</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val="en-US" w:eastAsia="zh-CN"/>
        </w:rPr>
        <w:t>办公设备和打印纸采购、财政购买服务和财政评审评价购买服务等</w:t>
      </w:r>
      <w:r>
        <w:rPr>
          <w:rFonts w:hint="eastAsia" w:ascii="仿宋_GB2312" w:eastAsia="仿宋_GB2312"/>
          <w:color w:val="auto"/>
          <w:sz w:val="32"/>
          <w:szCs w:val="32"/>
          <w:highlight w:val="none"/>
        </w:rPr>
        <w:t>。授予中小企业合同金额</w:t>
      </w:r>
      <w:r>
        <w:rPr>
          <w:rFonts w:hint="eastAsia" w:ascii="仿宋_GB2312" w:eastAsia="仿宋_GB2312"/>
          <w:color w:val="auto"/>
          <w:sz w:val="32"/>
          <w:szCs w:val="32"/>
          <w:highlight w:val="none"/>
          <w:lang w:val="en-US" w:eastAsia="zh-CN"/>
        </w:rPr>
        <w:t>233.96</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100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233.96</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100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bookmarkStart w:id="79" w:name="_Toc15377224"/>
      <w:r>
        <w:rPr>
          <w:rFonts w:hint="eastAsia" w:ascii="仿宋" w:hAnsi="仿宋" w:eastAsia="仿宋"/>
          <w:b/>
          <w:color w:val="auto"/>
          <w:sz w:val="32"/>
          <w:szCs w:val="32"/>
          <w:highlight w:val="none"/>
        </w:rPr>
        <w:t>（三）国有资产占有使用情况</w:t>
      </w:r>
      <w:bookmarkEnd w:id="79"/>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广元市财政局</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辆，其中：其他用车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其他用车主要是用于</w:t>
      </w:r>
      <w:r>
        <w:rPr>
          <w:rFonts w:hint="eastAsia" w:ascii="仿宋_GB2312" w:eastAsia="仿宋_GB2312"/>
          <w:color w:val="000000"/>
          <w:sz w:val="32"/>
          <w:szCs w:val="32"/>
        </w:rPr>
        <w:t>一般公务</w:t>
      </w:r>
      <w:r>
        <w:rPr>
          <w:rFonts w:hint="eastAsia" w:ascii="仿宋_GB2312" w:eastAsia="仿宋_GB2312"/>
          <w:color w:val="000000"/>
          <w:sz w:val="32"/>
          <w:szCs w:val="32"/>
          <w:lang w:val="en-US" w:eastAsia="zh-CN"/>
        </w:rPr>
        <w:t>出行</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autoSpaceDE w:val="0"/>
        <w:autoSpaceDN w:val="0"/>
        <w:adjustRightInd w:val="0"/>
        <w:spacing w:line="600" w:lineRule="exact"/>
        <w:ind w:firstLine="642"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pPr>
        <w:pStyle w:val="6"/>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w:t>
      </w:r>
      <w:r>
        <w:rPr>
          <w:rFonts w:hint="eastAsia" w:hAnsi="仿宋_GB2312" w:cs="仿宋_GB2312"/>
          <w:color w:val="auto"/>
          <w:sz w:val="32"/>
          <w:szCs w:val="32"/>
          <w:highlight w:val="none"/>
          <w:lang w:eastAsia="zh-CN"/>
        </w:rPr>
        <w:t>财政专项工作经费</w:t>
      </w:r>
      <w:r>
        <w:rPr>
          <w:rFonts w:hint="eastAsia" w:ascii="仿宋_GB2312" w:hAnsi="仿宋_GB2312" w:eastAsia="仿宋_GB2312" w:cs="仿宋_GB2312"/>
          <w:color w:val="auto"/>
          <w:sz w:val="32"/>
          <w:szCs w:val="32"/>
          <w:highlight w:val="none"/>
        </w:rPr>
        <w:t>项目等</w:t>
      </w:r>
      <w:r>
        <w:rPr>
          <w:rFonts w:hint="eastAsia" w:hAnsi="仿宋_GB2312" w:cs="仿宋_GB2312"/>
          <w:color w:val="auto"/>
          <w:sz w:val="32"/>
          <w:szCs w:val="32"/>
          <w:highlight w:val="none"/>
          <w:lang w:val="en-US" w:eastAsia="zh-CN"/>
        </w:rPr>
        <w:t>14</w:t>
      </w:r>
      <w:r>
        <w:rPr>
          <w:rFonts w:hint="eastAsia" w:ascii="仿宋_GB2312" w:hAnsi="仿宋_GB2312" w:eastAsia="仿宋_GB2312" w:cs="仿宋_GB2312"/>
          <w:color w:val="auto"/>
          <w:sz w:val="32"/>
          <w:szCs w:val="32"/>
          <w:highlight w:val="none"/>
        </w:rPr>
        <w:t>个项目开展了预算事前绩效评估，对</w:t>
      </w:r>
      <w:r>
        <w:rPr>
          <w:rFonts w:hint="eastAsia" w:hAnsi="仿宋_GB2312" w:cs="仿宋_GB2312"/>
          <w:color w:val="auto"/>
          <w:sz w:val="32"/>
          <w:szCs w:val="32"/>
          <w:highlight w:val="none"/>
          <w:lang w:val="en-US" w:eastAsia="zh-CN"/>
        </w:rPr>
        <w:t>14</w:t>
      </w:r>
      <w:r>
        <w:rPr>
          <w:rFonts w:hint="eastAsia" w:ascii="仿宋_GB2312" w:hAnsi="仿宋_GB2312" w:eastAsia="仿宋_GB2312" w:cs="仿宋_GB2312"/>
          <w:color w:val="auto"/>
          <w:sz w:val="32"/>
          <w:szCs w:val="32"/>
          <w:highlight w:val="none"/>
        </w:rPr>
        <w:t>个项目编制了绩效目标，预算执行过程中，选取</w:t>
      </w:r>
      <w:r>
        <w:rPr>
          <w:rFonts w:hint="eastAsia" w:hAnsi="仿宋_GB2312" w:cs="仿宋_GB2312"/>
          <w:color w:val="auto"/>
          <w:sz w:val="32"/>
          <w:szCs w:val="32"/>
          <w:highlight w:val="none"/>
          <w:lang w:val="en-US" w:eastAsia="zh-CN"/>
        </w:rPr>
        <w:t>14</w:t>
      </w:r>
      <w:r>
        <w:rPr>
          <w:rFonts w:hint="eastAsia" w:ascii="仿宋_GB2312" w:hAnsi="仿宋_GB2312" w:eastAsia="仿宋_GB2312" w:cs="仿宋_GB2312"/>
          <w:color w:val="auto"/>
          <w:sz w:val="32"/>
          <w:szCs w:val="32"/>
          <w:highlight w:val="none"/>
        </w:rPr>
        <w:t>个项目开展绩效监控，组织对</w:t>
      </w:r>
      <w:r>
        <w:rPr>
          <w:rFonts w:hint="eastAsia" w:hAnsi="仿宋_GB2312" w:cs="仿宋_GB2312"/>
          <w:color w:val="auto"/>
          <w:sz w:val="32"/>
          <w:szCs w:val="32"/>
          <w:highlight w:val="none"/>
          <w:lang w:val="en-US" w:eastAsia="zh-CN"/>
        </w:rPr>
        <w:t>14</w:t>
      </w:r>
      <w:r>
        <w:rPr>
          <w:rFonts w:hint="eastAsia" w:ascii="仿宋_GB2312" w:hAnsi="仿宋_GB2312" w:eastAsia="仿宋_GB2312" w:cs="仿宋_GB2312"/>
          <w:color w:val="auto"/>
          <w:sz w:val="32"/>
          <w:szCs w:val="32"/>
          <w:highlight w:val="none"/>
        </w:rPr>
        <w:t>个项目开展绩效自评，绩效自评表详见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3"/>
        </w:numPr>
        <w:spacing w:line="600" w:lineRule="exact"/>
        <w:ind w:firstLine="660" w:firstLineChars="150"/>
        <w:jc w:val="center"/>
        <w:outlineLvl w:val="0"/>
        <w:rPr>
          <w:rStyle w:val="17"/>
          <w:rFonts w:ascii="黑体" w:hAnsi="黑体" w:eastAsia="黑体"/>
          <w:b w:val="0"/>
          <w:color w:val="auto"/>
          <w:highlight w:val="none"/>
        </w:rPr>
      </w:pPr>
      <w:bookmarkStart w:id="80" w:name="_Toc15377225"/>
      <w:bookmarkStart w:id="81" w:name="_Toc15396613"/>
      <w:bookmarkStart w:id="82" w:name="_Toc2044282993_WPSOffice_Level1"/>
      <w:bookmarkStart w:id="83" w:name="_Toc14758"/>
      <w:r>
        <w:rPr>
          <w:rFonts w:hint="eastAsia" w:ascii="黑体" w:hAnsi="黑体" w:eastAsia="黑体"/>
          <w:color w:val="auto"/>
          <w:sz w:val="44"/>
          <w:szCs w:val="44"/>
          <w:highlight w:val="none"/>
        </w:rPr>
        <w:t>名</w:t>
      </w:r>
      <w:r>
        <w:rPr>
          <w:rStyle w:val="17"/>
          <w:rFonts w:hint="eastAsia" w:ascii="黑体" w:hAnsi="黑体" w:eastAsia="黑体"/>
          <w:b w:val="0"/>
          <w:color w:val="auto"/>
          <w:highlight w:val="none"/>
        </w:rPr>
        <w:t>词解释</w:t>
      </w:r>
      <w:bookmarkEnd w:id="80"/>
      <w:bookmarkEnd w:id="81"/>
      <w:bookmarkEnd w:id="82"/>
      <w:bookmarkEnd w:id="83"/>
    </w:p>
    <w:p>
      <w:pPr>
        <w:spacing w:line="600" w:lineRule="exact"/>
        <w:jc w:val="left"/>
        <w:rPr>
          <w:rFonts w:ascii="宋体"/>
          <w:b/>
          <w:color w:val="auto"/>
          <w:sz w:val="44"/>
          <w:szCs w:val="44"/>
          <w:highlight w:val="none"/>
        </w:rPr>
      </w:pPr>
    </w:p>
    <w:p>
      <w:pPr>
        <w:pStyle w:val="26"/>
        <w:keepNext w:val="0"/>
        <w:keepLines w:val="0"/>
        <w:pageBreakBefore w:val="0"/>
        <w:widowControl w:val="0"/>
        <w:kinsoku/>
        <w:wordWrap/>
        <w:overflowPunct/>
        <w:topLinePunct w:val="0"/>
        <w:bidi w:val="0"/>
        <w:spacing w:line="560" w:lineRule="exact"/>
        <w:ind w:firstLine="640" w:firstLineChars="200"/>
        <w:rPr>
          <w:rFonts w:ascii="仿宋_GB2312" w:eastAsia="仿宋_GB2312"/>
          <w:color w:val="auto"/>
          <w:sz w:val="32"/>
          <w:szCs w:val="32"/>
          <w:highlight w:val="none"/>
        </w:rPr>
      </w:pPr>
      <w:bookmarkStart w:id="84" w:name="_Toc15377226"/>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pPr>
        <w:pStyle w:val="26"/>
        <w:keepNext w:val="0"/>
        <w:keepLines w:val="0"/>
        <w:pageBreakBefore w:val="0"/>
        <w:widowControl w:val="0"/>
        <w:kinsoku/>
        <w:wordWrap/>
        <w:overflowPunct/>
        <w:topLinePunct w:val="0"/>
        <w:bidi w:val="0"/>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rPr>
        <w:t>其他收入：指单位取得的除上述收入以外的各项收入。主要是</w:t>
      </w:r>
      <w:r>
        <w:rPr>
          <w:rFonts w:hint="eastAsia" w:ascii="仿宋_GB2312" w:eastAsia="仿宋_GB2312"/>
          <w:color w:val="auto"/>
          <w:sz w:val="32"/>
          <w:szCs w:val="32"/>
          <w:highlight w:val="none"/>
          <w:lang w:val="en-US" w:eastAsia="zh-CN"/>
        </w:rPr>
        <w:t>利息收入、疫情防控专项收入</w:t>
      </w:r>
      <w:r>
        <w:rPr>
          <w:rFonts w:hint="eastAsia" w:ascii="仿宋_GB2312" w:eastAsia="仿宋_GB2312"/>
          <w:color w:val="auto"/>
          <w:sz w:val="32"/>
          <w:szCs w:val="32"/>
          <w:highlight w:val="none"/>
        </w:rPr>
        <w:t>等。</w:t>
      </w:r>
      <w:r>
        <w:rPr>
          <w:rFonts w:ascii="仿宋_GB2312" w:eastAsia="仿宋_GB2312"/>
          <w:color w:val="auto"/>
          <w:sz w:val="32"/>
          <w:szCs w:val="32"/>
          <w:highlight w:val="none"/>
        </w:rPr>
        <w:t xml:space="preserve"> </w:t>
      </w:r>
    </w:p>
    <w:p>
      <w:pPr>
        <w:pStyle w:val="26"/>
        <w:keepNext w:val="0"/>
        <w:keepLines w:val="0"/>
        <w:pageBreakBefore w:val="0"/>
        <w:widowControl w:val="0"/>
        <w:kinsoku/>
        <w:wordWrap/>
        <w:overflowPunct/>
        <w:topLinePunct w:val="0"/>
        <w:bidi w:val="0"/>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pPr>
        <w:pStyle w:val="26"/>
        <w:keepNext w:val="0"/>
        <w:keepLines w:val="0"/>
        <w:pageBreakBefore w:val="0"/>
        <w:widowControl w:val="0"/>
        <w:kinsoku/>
        <w:wordWrap/>
        <w:overflowPunct/>
        <w:topLinePunct w:val="0"/>
        <w:bidi w:val="0"/>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年末结转和结余：指单位按有关规定结转到下年或以后年度继续使用的资金。</w:t>
      </w:r>
    </w:p>
    <w:p>
      <w:pPr>
        <w:keepNext w:val="0"/>
        <w:keepLines w:val="0"/>
        <w:pageBreakBefore w:val="0"/>
        <w:widowControl w:val="0"/>
        <w:kinsoku/>
        <w:wordWrap/>
        <w:overflowPunct/>
        <w:topLinePunct w:val="0"/>
        <w:bidi w:val="0"/>
        <w:spacing w:line="576" w:lineRule="exact"/>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rPr>
        <w:t>5.一般公共服务（类）</w:t>
      </w:r>
      <w:r>
        <w:rPr>
          <w:rFonts w:hint="eastAsia" w:ascii="仿宋_GB2312" w:hAnsi="仿宋_GB2312" w:eastAsia="仿宋_GB2312" w:cs="仿宋_GB2312"/>
          <w:sz w:val="32"/>
          <w:szCs w:val="32"/>
          <w:shd w:val="clear" w:color="auto" w:fill="FFFFFF"/>
        </w:rPr>
        <w:t>财政事务（款）行政运行（项）：指局机关用于保障机构正常运行、开展日常工作的基本支出。</w:t>
      </w:r>
    </w:p>
    <w:p>
      <w:pPr>
        <w:keepNext w:val="0"/>
        <w:keepLines w:val="0"/>
        <w:pageBreakBefore w:val="0"/>
        <w:widowControl w:val="0"/>
        <w:kinsoku/>
        <w:wordWrap/>
        <w:overflowPunct/>
        <w:topLinePunct w:val="0"/>
        <w:bidi w:val="0"/>
        <w:spacing w:line="576" w:lineRule="exact"/>
        <w:ind w:firstLine="640" w:firstLineChars="200"/>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6.一般公共服务（类）财政事务（款）一般行政管理事务（项）：指局机关开展财政综合业务专门性财政管理工作的项目支出。</w:t>
      </w:r>
    </w:p>
    <w:p>
      <w:pPr>
        <w:pStyle w:val="6"/>
        <w:keepNext w:val="0"/>
        <w:keepLines w:val="0"/>
        <w:pageBreakBefore w:val="0"/>
        <w:widowControl w:val="0"/>
        <w:kinsoku/>
        <w:wordWrap/>
        <w:overflowPunct/>
        <w:topLinePunct w:val="0"/>
        <w:bidi w:val="0"/>
        <w:ind w:firstLine="640" w:firstLineChars="200"/>
        <w:rPr>
          <w:rFonts w:hint="default" w:eastAsia="仿宋_GB2312"/>
          <w:lang w:val="en-US" w:eastAsia="zh-CN"/>
        </w:rPr>
      </w:pPr>
      <w:r>
        <w:rPr>
          <w:rFonts w:hint="eastAsia" w:hAnsi="仿宋_GB2312" w:cs="仿宋_GB2312"/>
          <w:sz w:val="32"/>
          <w:szCs w:val="32"/>
          <w:shd w:val="clear" w:color="auto" w:fill="FFFFFF"/>
          <w:lang w:val="en-US" w:eastAsia="zh-CN"/>
        </w:rPr>
        <w:t>7</w:t>
      </w:r>
      <w:r>
        <w:rPr>
          <w:rFonts w:hint="eastAsia" w:ascii="仿宋_GB2312" w:hAnsi="仿宋_GB2312" w:eastAsia="仿宋_GB2312" w:cs="仿宋_GB2312"/>
          <w:sz w:val="32"/>
          <w:szCs w:val="32"/>
          <w:shd w:val="clear" w:color="auto" w:fill="FFFFFF"/>
        </w:rPr>
        <w:t>.一般公共服务（类）财政事务（款）</w:t>
      </w:r>
      <w:r>
        <w:rPr>
          <w:rFonts w:hint="eastAsia" w:hAnsi="仿宋_GB2312" w:cs="仿宋_GB2312"/>
          <w:sz w:val="32"/>
          <w:szCs w:val="32"/>
          <w:shd w:val="clear" w:color="auto" w:fill="FFFFFF"/>
          <w:lang w:val="en-US" w:eastAsia="zh-CN"/>
        </w:rPr>
        <w:t>机关服务</w:t>
      </w:r>
      <w:r>
        <w:rPr>
          <w:rFonts w:hint="eastAsia" w:ascii="仿宋_GB2312" w:hAnsi="仿宋_GB2312" w:eastAsia="仿宋_GB2312" w:cs="仿宋_GB2312"/>
          <w:sz w:val="32"/>
          <w:szCs w:val="32"/>
          <w:shd w:val="clear" w:color="auto" w:fill="FFFFFF"/>
        </w:rPr>
        <w:t>（项）：</w:t>
      </w:r>
      <w:r>
        <w:rPr>
          <w:rFonts w:hint="eastAsia" w:hAnsi="仿宋_GB2312" w:cs="仿宋_GB2312"/>
          <w:sz w:val="32"/>
          <w:szCs w:val="32"/>
          <w:shd w:val="clear" w:color="auto" w:fill="FFFFFF"/>
          <w:lang w:val="en-US" w:eastAsia="zh-CN"/>
        </w:rPr>
        <w:t>指局机关开展后勤服务管理发生的支出。</w:t>
      </w:r>
    </w:p>
    <w:p>
      <w:pPr>
        <w:keepNext w:val="0"/>
        <w:keepLines w:val="0"/>
        <w:pageBreakBefore w:val="0"/>
        <w:widowControl w:val="0"/>
        <w:kinsoku/>
        <w:wordWrap/>
        <w:overflowPunct/>
        <w:topLinePunct w:val="0"/>
        <w:bidi w:val="0"/>
        <w:spacing w:line="576" w:lineRule="exact"/>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lang w:val="en-US" w:eastAsia="zh-CN"/>
        </w:rPr>
        <w:t>8</w:t>
      </w:r>
      <w:r>
        <w:rPr>
          <w:rFonts w:hint="eastAsia" w:ascii="仿宋_GB2312" w:hAnsi="仿宋_GB2312" w:eastAsia="仿宋_GB2312" w:cs="仿宋_GB2312"/>
          <w:sz w:val="32"/>
          <w:szCs w:val="32"/>
          <w:shd w:val="clear" w:color="auto" w:fill="FFFFFF"/>
        </w:rPr>
        <w:t>.一般公共服务（类）财政事务（款）财政委托业务支出（项）：指局机关及事业单位委托评审机构进行财政投资评审业务发生的支出。</w:t>
      </w:r>
    </w:p>
    <w:p>
      <w:pPr>
        <w:keepNext w:val="0"/>
        <w:keepLines w:val="0"/>
        <w:pageBreakBefore w:val="0"/>
        <w:widowControl w:val="0"/>
        <w:kinsoku/>
        <w:wordWrap/>
        <w:overflowPunct/>
        <w:topLinePunct w:val="0"/>
        <w:bidi w:val="0"/>
        <w:spacing w:line="576" w:lineRule="exact"/>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lang w:val="en-US" w:eastAsia="zh-CN"/>
        </w:rPr>
        <w:t>9</w:t>
      </w:r>
      <w:r>
        <w:rPr>
          <w:rFonts w:hint="eastAsia" w:ascii="仿宋_GB2312" w:hAnsi="仿宋_GB2312" w:eastAsia="仿宋_GB2312" w:cs="仿宋_GB2312"/>
          <w:sz w:val="32"/>
          <w:szCs w:val="32"/>
          <w:shd w:val="clear" w:color="auto" w:fill="FFFFFF"/>
        </w:rPr>
        <w:t>.一般公共服务（类）财政事务（款）事业运行（项）：指事业单位用于保障机构正常运行、开展日常工作的基本支出。</w:t>
      </w:r>
    </w:p>
    <w:p>
      <w:pPr>
        <w:keepNext w:val="0"/>
        <w:keepLines w:val="0"/>
        <w:pageBreakBefore w:val="0"/>
        <w:widowControl w:val="0"/>
        <w:kinsoku/>
        <w:wordWrap/>
        <w:overflowPunct/>
        <w:topLinePunct w:val="0"/>
        <w:bidi w:val="0"/>
        <w:spacing w:line="576" w:lineRule="exact"/>
        <w:ind w:firstLine="640" w:firstLineChars="200"/>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1</w:t>
      </w:r>
      <w:r>
        <w:rPr>
          <w:rFonts w:hint="eastAsia" w:ascii="仿宋_GB2312" w:hAnsi="仿宋_GB2312" w:eastAsia="仿宋_GB2312" w:cs="仿宋_GB2312"/>
          <w:sz w:val="32"/>
          <w:szCs w:val="32"/>
          <w:shd w:val="clear" w:color="auto" w:fill="FFFFFF"/>
          <w:lang w:val="en-US" w:eastAsia="zh-CN"/>
        </w:rPr>
        <w:t>0</w:t>
      </w:r>
      <w:r>
        <w:rPr>
          <w:rFonts w:hint="eastAsia" w:ascii="仿宋_GB2312" w:hAnsi="仿宋_GB2312" w:eastAsia="仿宋_GB2312" w:cs="仿宋_GB2312"/>
          <w:sz w:val="32"/>
          <w:szCs w:val="32"/>
          <w:shd w:val="clear" w:color="auto" w:fill="FFFFFF"/>
        </w:rPr>
        <w:t>.一般公共服务（类）财政事务（款）其他财政事务支出</w:t>
      </w:r>
      <w:r>
        <w:rPr>
          <w:rFonts w:hint="eastAsia" w:ascii="仿宋_GB2312" w:hAnsi="仿宋_GB2312" w:eastAsia="仿宋_GB2312" w:cs="仿宋_GB2312"/>
          <w:sz w:val="32"/>
          <w:szCs w:val="32"/>
          <w:shd w:val="clear" w:color="auto" w:fill="FFFFFF"/>
          <w:lang w:eastAsia="zh-CN"/>
        </w:rPr>
        <w:t>（</w:t>
      </w:r>
      <w:r>
        <w:rPr>
          <w:rFonts w:hint="eastAsia" w:ascii="仿宋_GB2312" w:hAnsi="仿宋_GB2312" w:eastAsia="仿宋_GB2312" w:cs="仿宋_GB2312"/>
          <w:sz w:val="32"/>
          <w:szCs w:val="32"/>
          <w:shd w:val="clear" w:color="auto" w:fill="FFFFFF"/>
        </w:rPr>
        <w:t>项）：指事业单位用于除上述项目以外其他财政事务等方面支出。</w:t>
      </w:r>
    </w:p>
    <w:p>
      <w:pPr>
        <w:pStyle w:val="6"/>
        <w:ind w:firstLine="640" w:firstLineChars="200"/>
        <w:rPr>
          <w:rFonts w:hint="default" w:eastAsia="仿宋_GB2312"/>
          <w:lang w:val="en-US" w:eastAsia="zh-CN"/>
        </w:rPr>
      </w:pPr>
      <w:r>
        <w:rPr>
          <w:rFonts w:hint="eastAsia" w:hAnsi="仿宋_GB2312" w:cs="仿宋_GB2312"/>
          <w:sz w:val="32"/>
          <w:szCs w:val="32"/>
          <w:shd w:val="clear" w:color="auto" w:fill="FFFFFF"/>
          <w:lang w:val="en-US" w:eastAsia="zh-CN"/>
        </w:rPr>
        <w:t>11.</w:t>
      </w:r>
      <w:r>
        <w:rPr>
          <w:rStyle w:val="15"/>
          <w:rFonts w:hint="eastAsia" w:ascii="仿宋_GB2312" w:hAnsi="仿宋_GB2312" w:eastAsia="仿宋_GB2312" w:cs="仿宋_GB2312"/>
          <w:b w:val="0"/>
          <w:sz w:val="32"/>
          <w:szCs w:val="32"/>
        </w:rPr>
        <w:t>社会保障和就业（类）</w:t>
      </w:r>
      <w:r>
        <w:rPr>
          <w:rStyle w:val="15"/>
          <w:rFonts w:hint="eastAsia" w:hAnsi="仿宋_GB2312" w:cs="仿宋_GB2312"/>
          <w:b w:val="0"/>
          <w:sz w:val="32"/>
          <w:szCs w:val="32"/>
          <w:lang w:val="en-US" w:eastAsia="zh-CN"/>
        </w:rPr>
        <w:t>人力资源和社会保障管理事务</w:t>
      </w:r>
      <w:r>
        <w:rPr>
          <w:rStyle w:val="15"/>
          <w:rFonts w:hint="eastAsia" w:ascii="仿宋_GB2312" w:hAnsi="仿宋_GB2312" w:eastAsia="仿宋_GB2312" w:cs="仿宋_GB2312"/>
          <w:b w:val="0"/>
          <w:sz w:val="32"/>
          <w:szCs w:val="32"/>
        </w:rPr>
        <w:t>（款）</w:t>
      </w:r>
      <w:r>
        <w:rPr>
          <w:rStyle w:val="15"/>
          <w:rFonts w:hint="eastAsia" w:hAnsi="仿宋_GB2312" w:cs="仿宋_GB2312"/>
          <w:b w:val="0"/>
          <w:sz w:val="32"/>
          <w:szCs w:val="32"/>
          <w:lang w:val="en-US" w:eastAsia="zh-CN"/>
        </w:rPr>
        <w:t>引进人才费用</w:t>
      </w:r>
      <w:r>
        <w:rPr>
          <w:rStyle w:val="15"/>
          <w:rFonts w:hint="eastAsia" w:ascii="仿宋_GB2312" w:hAnsi="仿宋_GB2312" w:eastAsia="仿宋_GB2312" w:cs="仿宋_GB2312"/>
          <w:b w:val="0"/>
          <w:sz w:val="32"/>
          <w:szCs w:val="32"/>
        </w:rPr>
        <w:t>（项）</w:t>
      </w:r>
      <w:r>
        <w:rPr>
          <w:rStyle w:val="15"/>
          <w:rFonts w:hint="eastAsia" w:hAnsi="仿宋_GB2312" w:cs="仿宋_GB2312"/>
          <w:b w:val="0"/>
          <w:sz w:val="32"/>
          <w:szCs w:val="32"/>
          <w:lang w:eastAsia="zh-CN"/>
        </w:rPr>
        <w:t>：</w:t>
      </w:r>
      <w:r>
        <w:rPr>
          <w:rStyle w:val="15"/>
          <w:rFonts w:hint="eastAsia" w:hAnsi="仿宋_GB2312" w:cs="仿宋_GB2312"/>
          <w:b w:val="0"/>
          <w:sz w:val="32"/>
          <w:szCs w:val="32"/>
          <w:lang w:val="en-US" w:eastAsia="zh-CN"/>
        </w:rPr>
        <w:t>指局机关及事业单位其他用于人力资源和社会保障管理事务方面的支出，主要是指引进高层次人才工作补助。</w:t>
      </w:r>
    </w:p>
    <w:p>
      <w:pPr>
        <w:pStyle w:val="6"/>
        <w:keepNext w:val="0"/>
        <w:keepLines w:val="0"/>
        <w:pageBreakBefore w:val="0"/>
        <w:widowControl w:val="0"/>
        <w:kinsoku/>
        <w:wordWrap/>
        <w:overflowPunct/>
        <w:topLinePunct w:val="0"/>
        <w:bidi w:val="0"/>
        <w:ind w:firstLine="640" w:firstLineChars="200"/>
        <w:rPr>
          <w:rStyle w:val="15"/>
          <w:rFonts w:ascii="仿宋_GB2312" w:hAnsi="仿宋_GB2312" w:eastAsia="仿宋_GB2312" w:cs="仿宋_GB2312"/>
          <w:b w:val="0"/>
          <w:color w:val="000000"/>
          <w:sz w:val="32"/>
          <w:szCs w:val="32"/>
        </w:rPr>
      </w:pPr>
      <w:r>
        <w:rPr>
          <w:rStyle w:val="15"/>
          <w:rFonts w:hint="eastAsia" w:ascii="仿宋_GB2312" w:hAnsi="仿宋_GB2312" w:eastAsia="仿宋_GB2312" w:cs="仿宋_GB2312"/>
          <w:b w:val="0"/>
          <w:sz w:val="32"/>
          <w:szCs w:val="32"/>
        </w:rPr>
        <w:t>1</w:t>
      </w:r>
      <w:r>
        <w:rPr>
          <w:rStyle w:val="15"/>
          <w:rFonts w:hint="eastAsia" w:ascii="仿宋_GB2312" w:hAnsi="仿宋_GB2312" w:eastAsia="仿宋_GB2312" w:cs="仿宋_GB2312"/>
          <w:b w:val="0"/>
          <w:sz w:val="32"/>
          <w:szCs w:val="32"/>
          <w:lang w:val="en-US" w:eastAsia="zh-CN"/>
        </w:rPr>
        <w:t>2</w:t>
      </w:r>
      <w:r>
        <w:rPr>
          <w:rStyle w:val="15"/>
          <w:rFonts w:hint="eastAsia" w:ascii="仿宋_GB2312" w:hAnsi="仿宋_GB2312" w:eastAsia="仿宋_GB2312" w:cs="仿宋_GB2312"/>
          <w:b w:val="0"/>
          <w:sz w:val="32"/>
          <w:szCs w:val="32"/>
        </w:rPr>
        <w:t>.社会保障和就业（类）行政事业单位养老支出（款）机关事业单位基本养老保险缴费</w:t>
      </w:r>
      <w:r>
        <w:rPr>
          <w:rStyle w:val="15"/>
          <w:rFonts w:hint="eastAsia" w:ascii="仿宋_GB2312" w:hAnsi="仿宋_GB2312" w:eastAsia="仿宋_GB2312" w:cs="仿宋_GB2312"/>
          <w:b w:val="0"/>
          <w:sz w:val="32"/>
          <w:szCs w:val="32"/>
          <w:lang w:val="en-US" w:eastAsia="zh-CN"/>
        </w:rPr>
        <w:t>支出</w:t>
      </w:r>
      <w:r>
        <w:rPr>
          <w:rStyle w:val="15"/>
          <w:rFonts w:hint="eastAsia" w:ascii="仿宋_GB2312" w:hAnsi="仿宋_GB2312" w:eastAsia="仿宋_GB2312" w:cs="仿宋_GB2312"/>
          <w:b w:val="0"/>
          <w:sz w:val="32"/>
          <w:szCs w:val="32"/>
        </w:rPr>
        <w:t>（项）：指机关事业单位</w:t>
      </w:r>
      <w:r>
        <w:rPr>
          <w:rStyle w:val="15"/>
          <w:rFonts w:hint="eastAsia" w:ascii="仿宋_GB2312" w:hAnsi="仿宋_GB2312" w:eastAsia="仿宋_GB2312" w:cs="仿宋_GB2312"/>
          <w:b w:val="0"/>
          <w:color w:val="000000"/>
          <w:sz w:val="32"/>
          <w:szCs w:val="32"/>
        </w:rPr>
        <w:t>实施养老保险制度由单位缴纳的基本养老保险费支出。</w:t>
      </w:r>
    </w:p>
    <w:p>
      <w:pPr>
        <w:keepNext w:val="0"/>
        <w:keepLines w:val="0"/>
        <w:pageBreakBefore w:val="0"/>
        <w:widowControl w:val="0"/>
        <w:kinsoku/>
        <w:wordWrap/>
        <w:overflowPunct/>
        <w:topLinePunct w:val="0"/>
        <w:bidi w:val="0"/>
        <w:spacing w:line="576" w:lineRule="exact"/>
        <w:ind w:firstLine="640" w:firstLineChars="200"/>
        <w:rPr>
          <w:rStyle w:val="15"/>
          <w:rFonts w:ascii="仿宋_GB2312" w:hAnsi="仿宋_GB2312" w:eastAsia="仿宋_GB2312" w:cs="仿宋_GB2312"/>
          <w:b w:val="0"/>
          <w:sz w:val="32"/>
          <w:szCs w:val="32"/>
        </w:rPr>
      </w:pPr>
      <w:r>
        <w:rPr>
          <w:rStyle w:val="15"/>
          <w:rFonts w:hint="eastAsia" w:ascii="仿宋_GB2312" w:hAnsi="仿宋_GB2312" w:eastAsia="仿宋_GB2312" w:cs="仿宋_GB2312"/>
          <w:b w:val="0"/>
          <w:sz w:val="32"/>
          <w:szCs w:val="32"/>
        </w:rPr>
        <w:t>1</w:t>
      </w:r>
      <w:r>
        <w:rPr>
          <w:rStyle w:val="15"/>
          <w:rFonts w:hint="eastAsia" w:ascii="仿宋_GB2312" w:hAnsi="仿宋_GB2312" w:eastAsia="仿宋_GB2312" w:cs="仿宋_GB2312"/>
          <w:b w:val="0"/>
          <w:sz w:val="32"/>
          <w:szCs w:val="32"/>
          <w:lang w:val="en-US" w:eastAsia="zh-CN"/>
        </w:rPr>
        <w:t>3</w:t>
      </w:r>
      <w:r>
        <w:rPr>
          <w:rStyle w:val="15"/>
          <w:rFonts w:hint="eastAsia" w:ascii="仿宋_GB2312" w:hAnsi="仿宋_GB2312" w:eastAsia="仿宋_GB2312" w:cs="仿宋_GB2312"/>
          <w:b w:val="0"/>
          <w:sz w:val="32"/>
          <w:szCs w:val="32"/>
        </w:rPr>
        <w:t>.社会保障和就业（类）行政事业单位养老支出（款）机关事业单位职业年金缴费</w:t>
      </w:r>
      <w:r>
        <w:rPr>
          <w:rStyle w:val="15"/>
          <w:rFonts w:hint="eastAsia" w:ascii="仿宋_GB2312" w:hAnsi="仿宋_GB2312" w:eastAsia="仿宋_GB2312" w:cs="仿宋_GB2312"/>
          <w:b w:val="0"/>
          <w:sz w:val="32"/>
          <w:szCs w:val="32"/>
          <w:lang w:val="en-US" w:eastAsia="zh-CN"/>
        </w:rPr>
        <w:t>支出</w:t>
      </w:r>
      <w:r>
        <w:rPr>
          <w:rStyle w:val="15"/>
          <w:rFonts w:hint="eastAsia" w:ascii="仿宋_GB2312" w:hAnsi="仿宋_GB2312" w:eastAsia="仿宋_GB2312" w:cs="仿宋_GB2312"/>
          <w:b w:val="0"/>
          <w:sz w:val="32"/>
          <w:szCs w:val="32"/>
        </w:rPr>
        <w:t>（项）：指机关事业单位实施养老保险制度由单位实际缴纳的职业年金支出。</w:t>
      </w:r>
    </w:p>
    <w:p>
      <w:pPr>
        <w:keepNext w:val="0"/>
        <w:keepLines w:val="0"/>
        <w:pageBreakBefore w:val="0"/>
        <w:widowControl w:val="0"/>
        <w:kinsoku/>
        <w:wordWrap/>
        <w:overflowPunct/>
        <w:topLinePunct w:val="0"/>
        <w:bidi w:val="0"/>
        <w:spacing w:line="576" w:lineRule="exact"/>
        <w:ind w:firstLine="640" w:firstLineChars="200"/>
        <w:rPr>
          <w:rStyle w:val="15"/>
          <w:rFonts w:ascii="仿宋_GB2312" w:hAnsi="仿宋_GB2312" w:eastAsia="仿宋_GB2312" w:cs="仿宋_GB2312"/>
          <w:b w:val="0"/>
          <w:sz w:val="32"/>
          <w:szCs w:val="32"/>
        </w:rPr>
      </w:pPr>
      <w:r>
        <w:rPr>
          <w:rStyle w:val="15"/>
          <w:rFonts w:hint="eastAsia" w:ascii="仿宋_GB2312" w:hAnsi="仿宋_GB2312" w:eastAsia="仿宋_GB2312" w:cs="仿宋_GB2312"/>
          <w:b w:val="0"/>
          <w:color w:val="000000"/>
          <w:sz w:val="32"/>
          <w:szCs w:val="32"/>
        </w:rPr>
        <w:t>1</w:t>
      </w:r>
      <w:r>
        <w:rPr>
          <w:rStyle w:val="15"/>
          <w:rFonts w:hint="eastAsia" w:ascii="仿宋_GB2312" w:hAnsi="仿宋_GB2312" w:eastAsia="仿宋_GB2312" w:cs="仿宋_GB2312"/>
          <w:b w:val="0"/>
          <w:color w:val="000000"/>
          <w:sz w:val="32"/>
          <w:szCs w:val="32"/>
          <w:lang w:val="en-US" w:eastAsia="zh-CN"/>
        </w:rPr>
        <w:t>4</w:t>
      </w:r>
      <w:r>
        <w:rPr>
          <w:rStyle w:val="15"/>
          <w:rFonts w:hint="eastAsia" w:ascii="仿宋_GB2312" w:hAnsi="仿宋_GB2312" w:eastAsia="仿宋_GB2312" w:cs="仿宋_GB2312"/>
          <w:b w:val="0"/>
          <w:color w:val="000000"/>
          <w:sz w:val="32"/>
          <w:szCs w:val="32"/>
        </w:rPr>
        <w:t>.社会保障和就业（类）</w:t>
      </w:r>
      <w:r>
        <w:rPr>
          <w:rStyle w:val="15"/>
          <w:rFonts w:hint="eastAsia" w:ascii="仿宋_GB2312" w:hAnsi="仿宋_GB2312" w:eastAsia="仿宋_GB2312" w:cs="仿宋_GB2312"/>
          <w:b w:val="0"/>
          <w:color w:val="000000"/>
          <w:sz w:val="32"/>
          <w:szCs w:val="32"/>
          <w:lang w:eastAsia="zh-CN"/>
        </w:rPr>
        <w:t>抚恤</w:t>
      </w:r>
      <w:r>
        <w:rPr>
          <w:rStyle w:val="15"/>
          <w:rFonts w:hint="eastAsia" w:ascii="仿宋_GB2312" w:hAnsi="仿宋_GB2312" w:eastAsia="仿宋_GB2312" w:cs="仿宋_GB2312"/>
          <w:b w:val="0"/>
          <w:color w:val="000000"/>
          <w:sz w:val="32"/>
          <w:szCs w:val="32"/>
        </w:rPr>
        <w:t>（款）</w:t>
      </w:r>
      <w:r>
        <w:rPr>
          <w:rStyle w:val="15"/>
          <w:rFonts w:hint="eastAsia" w:ascii="仿宋_GB2312" w:hAnsi="仿宋_GB2312" w:eastAsia="仿宋_GB2312" w:cs="仿宋_GB2312"/>
          <w:b w:val="0"/>
          <w:color w:val="000000"/>
          <w:sz w:val="32"/>
          <w:szCs w:val="32"/>
          <w:lang w:eastAsia="zh-CN"/>
        </w:rPr>
        <w:t>死亡抚恤</w:t>
      </w:r>
      <w:r>
        <w:rPr>
          <w:rStyle w:val="15"/>
          <w:rFonts w:hint="eastAsia" w:ascii="仿宋_GB2312" w:hAnsi="仿宋_GB2312" w:eastAsia="仿宋_GB2312" w:cs="仿宋_GB2312"/>
          <w:b w:val="0"/>
          <w:color w:val="000000"/>
          <w:sz w:val="32"/>
          <w:szCs w:val="32"/>
        </w:rPr>
        <w:t>（</w:t>
      </w:r>
      <w:r>
        <w:rPr>
          <w:rStyle w:val="15"/>
          <w:rFonts w:hint="eastAsia" w:ascii="仿宋_GB2312" w:hAnsi="仿宋_GB2312" w:eastAsia="仿宋_GB2312" w:cs="仿宋_GB2312"/>
          <w:b w:val="0"/>
          <w:color w:val="000000"/>
          <w:sz w:val="32"/>
          <w:szCs w:val="32"/>
          <w:lang w:eastAsia="zh-CN"/>
        </w:rPr>
        <w:t>项</w:t>
      </w:r>
      <w:r>
        <w:rPr>
          <w:rStyle w:val="15"/>
          <w:rFonts w:hint="eastAsia" w:ascii="仿宋_GB2312" w:hAnsi="仿宋_GB2312" w:eastAsia="仿宋_GB2312" w:cs="仿宋_GB2312"/>
          <w:b w:val="0"/>
          <w:color w:val="000000"/>
          <w:sz w:val="32"/>
          <w:szCs w:val="32"/>
        </w:rPr>
        <w:t>）：</w:t>
      </w:r>
      <w:r>
        <w:rPr>
          <w:rStyle w:val="15"/>
          <w:rFonts w:hint="eastAsia" w:ascii="仿宋_GB2312" w:hAnsi="仿宋_GB2312" w:eastAsia="仿宋_GB2312" w:cs="仿宋_GB2312"/>
          <w:b w:val="0"/>
          <w:color w:val="000000"/>
          <w:sz w:val="32"/>
          <w:szCs w:val="32"/>
          <w:lang w:eastAsia="zh-CN"/>
        </w:rPr>
        <w:t>指局机关用于病故人员家属的一次性抚恤金</w:t>
      </w:r>
      <w:r>
        <w:rPr>
          <w:rStyle w:val="15"/>
          <w:rFonts w:hint="eastAsia" w:ascii="仿宋_GB2312" w:hAnsi="仿宋_GB2312" w:eastAsia="仿宋_GB2312" w:cs="仿宋_GB2312"/>
          <w:b w:val="0"/>
          <w:color w:val="000000"/>
          <w:sz w:val="32"/>
          <w:szCs w:val="32"/>
        </w:rPr>
        <w:t>。</w:t>
      </w:r>
    </w:p>
    <w:p>
      <w:pPr>
        <w:keepNext w:val="0"/>
        <w:keepLines w:val="0"/>
        <w:pageBreakBefore w:val="0"/>
        <w:widowControl w:val="0"/>
        <w:kinsoku/>
        <w:wordWrap/>
        <w:overflowPunct/>
        <w:topLinePunct w:val="0"/>
        <w:bidi w:val="0"/>
        <w:spacing w:line="576" w:lineRule="exact"/>
        <w:ind w:firstLine="640" w:firstLineChars="200"/>
        <w:rPr>
          <w:rFonts w:hint="eastAsia" w:ascii="仿宋_GB2312" w:hAnsi="仿宋_GB2312" w:eastAsia="仿宋_GB2312" w:cs="仿宋_GB2312"/>
          <w:sz w:val="32"/>
          <w:szCs w:val="32"/>
          <w:shd w:val="clear" w:color="auto" w:fill="FFFFFF"/>
        </w:rPr>
      </w:pPr>
      <w:r>
        <w:rPr>
          <w:rStyle w:val="15"/>
          <w:rFonts w:hint="eastAsia" w:ascii="仿宋_GB2312" w:hAnsi="仿宋_GB2312" w:eastAsia="仿宋_GB2312" w:cs="仿宋_GB2312"/>
          <w:b w:val="0"/>
          <w:sz w:val="32"/>
          <w:szCs w:val="32"/>
        </w:rPr>
        <w:t>1</w:t>
      </w:r>
      <w:r>
        <w:rPr>
          <w:rStyle w:val="15"/>
          <w:rFonts w:hint="eastAsia" w:ascii="仿宋_GB2312" w:hAnsi="仿宋_GB2312" w:eastAsia="仿宋_GB2312" w:cs="仿宋_GB2312"/>
          <w:b w:val="0"/>
          <w:sz w:val="32"/>
          <w:szCs w:val="32"/>
          <w:lang w:val="en-US" w:eastAsia="zh-CN"/>
        </w:rPr>
        <w:t>5</w:t>
      </w:r>
      <w:r>
        <w:rPr>
          <w:rStyle w:val="15"/>
          <w:rFonts w:hint="eastAsia" w:ascii="仿宋_GB2312" w:hAnsi="仿宋_GB2312" w:eastAsia="仿宋_GB2312" w:cs="仿宋_GB2312"/>
          <w:b w:val="0"/>
          <w:sz w:val="32"/>
          <w:szCs w:val="32"/>
        </w:rPr>
        <w:t>.卫生健康支出（类）行政事业单位医疗（款）行政单位医疗（项）：指局机关</w:t>
      </w:r>
      <w:r>
        <w:rPr>
          <w:rFonts w:hint="eastAsia" w:ascii="仿宋_GB2312" w:hAnsi="仿宋_GB2312" w:eastAsia="仿宋_GB2312" w:cs="仿宋_GB2312"/>
          <w:sz w:val="32"/>
          <w:szCs w:val="32"/>
          <w:shd w:val="clear" w:color="auto" w:fill="FFFFFF"/>
        </w:rPr>
        <w:t>用于缴纳单位基本医疗保险支出。</w:t>
      </w:r>
    </w:p>
    <w:p>
      <w:pPr>
        <w:keepNext w:val="0"/>
        <w:keepLines w:val="0"/>
        <w:pageBreakBefore w:val="0"/>
        <w:widowControl w:val="0"/>
        <w:kinsoku/>
        <w:wordWrap/>
        <w:overflowPunct/>
        <w:topLinePunct w:val="0"/>
        <w:bidi w:val="0"/>
        <w:spacing w:line="576" w:lineRule="exact"/>
        <w:ind w:firstLine="640" w:firstLineChars="200"/>
        <w:rPr>
          <w:rFonts w:hint="eastAsia" w:ascii="仿宋_GB2312" w:hAnsi="仿宋_GB2312" w:eastAsia="仿宋_GB2312" w:cs="仿宋_GB2312"/>
          <w:sz w:val="32"/>
          <w:szCs w:val="32"/>
        </w:rPr>
      </w:pPr>
      <w:r>
        <w:rPr>
          <w:rStyle w:val="15"/>
          <w:rFonts w:hint="eastAsia" w:ascii="仿宋_GB2312" w:hAnsi="仿宋_GB2312" w:eastAsia="仿宋_GB2312" w:cs="仿宋_GB2312"/>
          <w:b w:val="0"/>
          <w:sz w:val="32"/>
          <w:szCs w:val="32"/>
        </w:rPr>
        <w:t>1</w:t>
      </w:r>
      <w:r>
        <w:rPr>
          <w:rStyle w:val="15"/>
          <w:rFonts w:hint="eastAsia" w:ascii="仿宋_GB2312" w:hAnsi="仿宋_GB2312" w:eastAsia="仿宋_GB2312" w:cs="仿宋_GB2312"/>
          <w:b w:val="0"/>
          <w:sz w:val="32"/>
          <w:szCs w:val="32"/>
          <w:lang w:val="en-US" w:eastAsia="zh-CN"/>
        </w:rPr>
        <w:t>6</w:t>
      </w:r>
      <w:r>
        <w:rPr>
          <w:rStyle w:val="15"/>
          <w:rFonts w:hint="eastAsia" w:ascii="仿宋_GB2312" w:hAnsi="仿宋_GB2312" w:eastAsia="仿宋_GB2312" w:cs="仿宋_GB2312"/>
          <w:b w:val="0"/>
          <w:sz w:val="32"/>
          <w:szCs w:val="32"/>
        </w:rPr>
        <w:t>.</w:t>
      </w:r>
      <w:r>
        <w:rPr>
          <w:rFonts w:hint="eastAsia" w:ascii="仿宋_GB2312" w:hAnsi="仿宋_GB2312" w:eastAsia="仿宋_GB2312" w:cs="仿宋_GB2312"/>
          <w:sz w:val="32"/>
          <w:szCs w:val="32"/>
        </w:rPr>
        <w:t>住房保障（类）住房改革（款）住房公积金（项）：指局机关及事业单位按行政事业单位按人力资源部和社会保障部、财政部规定的基本工资和津贴补贴以及规定比例为职工缴纳的住房公积金。</w:t>
      </w:r>
    </w:p>
    <w:p>
      <w:pPr>
        <w:pStyle w:val="6"/>
        <w:rPr>
          <w:rFonts w:hint="eastAsia" w:eastAsia="仿宋_GB2312"/>
          <w:lang w:val="en-US" w:eastAsia="zh-CN"/>
        </w:rPr>
      </w:pPr>
      <w:r>
        <w:rPr>
          <w:rFonts w:hint="eastAsia" w:hAnsi="仿宋_GB2312" w:cs="仿宋_GB2312"/>
          <w:sz w:val="32"/>
          <w:szCs w:val="32"/>
          <w:lang w:val="en-US" w:eastAsia="zh-CN"/>
        </w:rPr>
        <w:t xml:space="preserve">    17.</w:t>
      </w:r>
      <w:r>
        <w:rPr>
          <w:rFonts w:hint="eastAsia" w:hAnsi="仿宋_GB2312" w:cs="仿宋_GB2312"/>
          <w:sz w:val="32"/>
          <w:szCs w:val="32"/>
          <w:lang w:eastAsia="zh-CN"/>
        </w:rPr>
        <w:t>其他支出</w:t>
      </w:r>
      <w:r>
        <w:rPr>
          <w:rFonts w:hint="eastAsia" w:ascii="仿宋_GB2312" w:hAnsi="仿宋_GB2312" w:eastAsia="仿宋_GB2312" w:cs="仿宋_GB2312"/>
          <w:sz w:val="32"/>
          <w:szCs w:val="32"/>
        </w:rPr>
        <w:t>（类）</w:t>
      </w:r>
      <w:r>
        <w:rPr>
          <w:rFonts w:hint="eastAsia" w:hAnsi="仿宋_GB2312" w:cs="仿宋_GB2312"/>
          <w:sz w:val="32"/>
          <w:szCs w:val="32"/>
          <w:lang w:eastAsia="zh-CN"/>
        </w:rPr>
        <w:t>其他支出</w:t>
      </w:r>
      <w:r>
        <w:rPr>
          <w:rFonts w:hint="eastAsia" w:ascii="仿宋_GB2312" w:hAnsi="仿宋_GB2312" w:eastAsia="仿宋_GB2312" w:cs="仿宋_GB2312"/>
          <w:sz w:val="32"/>
          <w:szCs w:val="32"/>
        </w:rPr>
        <w:t>（款）</w:t>
      </w:r>
      <w:r>
        <w:rPr>
          <w:rFonts w:hint="eastAsia" w:hAnsi="仿宋_GB2312" w:cs="仿宋_GB2312"/>
          <w:sz w:val="32"/>
          <w:szCs w:val="32"/>
          <w:lang w:eastAsia="zh-CN"/>
        </w:rPr>
        <w:t>其他支出</w:t>
      </w:r>
      <w:r>
        <w:rPr>
          <w:rFonts w:hint="eastAsia" w:ascii="仿宋_GB2312" w:hAnsi="仿宋_GB2312" w:eastAsia="仿宋_GB2312" w:cs="仿宋_GB2312"/>
          <w:sz w:val="32"/>
          <w:szCs w:val="32"/>
        </w:rPr>
        <w:t>（项）：</w:t>
      </w:r>
      <w:r>
        <w:rPr>
          <w:rFonts w:hint="eastAsia" w:hAnsi="仿宋_GB2312" w:cs="仿宋_GB2312"/>
          <w:sz w:val="32"/>
          <w:szCs w:val="32"/>
          <w:lang w:eastAsia="zh-CN"/>
        </w:rPr>
        <w:t>指其他不能划分到具体功能科目中的支出项目。</w:t>
      </w:r>
    </w:p>
    <w:p>
      <w:pPr>
        <w:keepNext w:val="0"/>
        <w:keepLines w:val="0"/>
        <w:pageBreakBefore w:val="0"/>
        <w:widowControl w:val="0"/>
        <w:kinsoku/>
        <w:wordWrap/>
        <w:overflowPunct/>
        <w:topLinePunct w:val="0"/>
        <w:bidi w:val="0"/>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18</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pPr>
        <w:keepNext w:val="0"/>
        <w:keepLines w:val="0"/>
        <w:pageBreakBefore w:val="0"/>
        <w:widowControl w:val="0"/>
        <w:kinsoku/>
        <w:wordWrap/>
        <w:overflowPunct/>
        <w:topLinePunct w:val="0"/>
        <w:bidi w:val="0"/>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19</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pPr>
        <w:pStyle w:val="26"/>
        <w:keepNext w:val="0"/>
        <w:keepLines w:val="0"/>
        <w:pageBreakBefore w:val="0"/>
        <w:widowControl w:val="0"/>
        <w:kinsoku/>
        <w:wordWrap/>
        <w:overflowPunct/>
        <w:topLinePunct w:val="0"/>
        <w:bidi w:val="0"/>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ind w:firstLine="640" w:firstLineChars="200"/>
        <w:jc w:val="left"/>
        <w:outlineLvl w:val="0"/>
        <w:rPr>
          <w:rFonts w:hint="eastAsia" w:ascii="仿宋_GB2312" w:eastAsia="仿宋_GB2312"/>
          <w:color w:val="auto"/>
          <w:sz w:val="32"/>
          <w:szCs w:val="32"/>
          <w:highlight w:val="none"/>
        </w:rPr>
      </w:pPr>
      <w:bookmarkStart w:id="85" w:name="_Toc22079"/>
      <w:r>
        <w:rPr>
          <w:rFonts w:hint="eastAsia" w:ascii="仿宋_GB2312" w:eastAsia="仿宋_GB2312"/>
          <w:color w:val="auto"/>
          <w:sz w:val="32"/>
          <w:szCs w:val="32"/>
          <w:highlight w:val="none"/>
          <w:lang w:val="en-US" w:eastAsia="zh-CN"/>
        </w:rPr>
        <w:t>21</w:t>
      </w:r>
      <w:r>
        <w:rPr>
          <w:rFonts w:ascii="仿宋_GB2312" w:eastAsia="仿宋_GB2312"/>
          <w:color w:val="auto"/>
          <w:sz w:val="32"/>
          <w:szCs w:val="32"/>
          <w:highlight w:val="none"/>
        </w:rPr>
        <w:t>.</w:t>
      </w:r>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w:t>
      </w:r>
      <w:r>
        <w:rPr>
          <w:rFonts w:hint="eastAsia" w:ascii="仿宋_GB2312" w:eastAsia="仿宋_GB2312"/>
          <w:color w:val="auto"/>
          <w:sz w:val="32"/>
          <w:szCs w:val="32"/>
          <w:highlight w:val="none"/>
          <w:lang w:eastAsia="zh-CN"/>
        </w:rPr>
        <w:t>费、</w:t>
      </w:r>
      <w:r>
        <w:rPr>
          <w:rFonts w:hint="eastAsia" w:ascii="仿宋_GB2312" w:eastAsia="仿宋_GB2312"/>
          <w:color w:val="auto"/>
          <w:sz w:val="32"/>
          <w:szCs w:val="32"/>
          <w:highlight w:val="none"/>
        </w:rPr>
        <w:t>印刷费、</w:t>
      </w:r>
      <w:r>
        <w:rPr>
          <w:rFonts w:hint="eastAsia" w:ascii="仿宋_GB2312" w:eastAsia="仿宋_GB2312"/>
          <w:color w:val="auto"/>
          <w:sz w:val="32"/>
          <w:szCs w:val="32"/>
          <w:highlight w:val="none"/>
          <w:lang w:eastAsia="zh-CN"/>
        </w:rPr>
        <w:t>咨询费、</w:t>
      </w:r>
      <w:r>
        <w:rPr>
          <w:rFonts w:hint="eastAsia" w:ascii="仿宋_GB2312" w:eastAsia="仿宋_GB2312"/>
          <w:color w:val="auto"/>
          <w:sz w:val="32"/>
          <w:szCs w:val="32"/>
          <w:highlight w:val="none"/>
        </w:rPr>
        <w:t>邮电费、差旅费、会议费、</w:t>
      </w:r>
      <w:r>
        <w:rPr>
          <w:rFonts w:hint="eastAsia" w:ascii="仿宋_GB2312" w:eastAsia="仿宋_GB2312"/>
          <w:color w:val="auto"/>
          <w:sz w:val="32"/>
          <w:szCs w:val="32"/>
          <w:highlight w:val="none"/>
          <w:lang w:eastAsia="zh-CN"/>
        </w:rPr>
        <w:t>培训费、</w:t>
      </w:r>
      <w:r>
        <w:rPr>
          <w:rFonts w:hint="eastAsia" w:ascii="仿宋_GB2312" w:eastAsia="仿宋_GB2312"/>
          <w:color w:val="auto"/>
          <w:sz w:val="32"/>
          <w:szCs w:val="32"/>
          <w:highlight w:val="none"/>
        </w:rPr>
        <w:t>福利费、日常维修费、办公用房水电费、办公用房物业管理费、</w:t>
      </w:r>
      <w:r>
        <w:rPr>
          <w:rFonts w:hint="eastAsia" w:ascii="仿宋_GB2312" w:eastAsia="仿宋_GB2312"/>
          <w:color w:val="auto"/>
          <w:sz w:val="32"/>
          <w:szCs w:val="32"/>
          <w:highlight w:val="none"/>
          <w:lang w:eastAsia="zh-CN"/>
        </w:rPr>
        <w:t>劳务费、公务接待费、</w:t>
      </w:r>
      <w:r>
        <w:rPr>
          <w:rFonts w:hint="eastAsia" w:ascii="仿宋_GB2312" w:eastAsia="仿宋_GB2312"/>
          <w:color w:val="auto"/>
          <w:sz w:val="32"/>
          <w:szCs w:val="32"/>
          <w:highlight w:val="none"/>
        </w:rPr>
        <w:t>公务用车运行维护费</w:t>
      </w:r>
      <w:r>
        <w:rPr>
          <w:rFonts w:hint="eastAsia" w:ascii="仿宋_GB2312" w:eastAsia="仿宋_GB2312"/>
          <w:color w:val="auto"/>
          <w:sz w:val="32"/>
          <w:szCs w:val="32"/>
          <w:highlight w:val="none"/>
          <w:lang w:eastAsia="zh-CN"/>
        </w:rPr>
        <w:t>、其他交通费用以及其他商品和服务支出</w:t>
      </w:r>
      <w:r>
        <w:rPr>
          <w:rFonts w:hint="eastAsia" w:ascii="仿宋_GB2312" w:eastAsia="仿宋_GB2312"/>
          <w:color w:val="auto"/>
          <w:sz w:val="32"/>
          <w:szCs w:val="32"/>
          <w:highlight w:val="none"/>
        </w:rPr>
        <w:t>。</w:t>
      </w:r>
      <w:bookmarkEnd w:id="85"/>
      <w:bookmarkStart w:id="86" w:name="_Toc15396614"/>
    </w:p>
    <w:p>
      <w:pPr>
        <w:spacing w:line="600" w:lineRule="exact"/>
        <w:jc w:val="both"/>
        <w:outlineLvl w:val="9"/>
        <w:rPr>
          <w:rFonts w:hint="eastAsia" w:ascii="仿宋_GB2312" w:eastAsia="仿宋_GB2312"/>
          <w:color w:val="auto"/>
          <w:sz w:val="32"/>
          <w:szCs w:val="32"/>
          <w:highlight w:val="none"/>
        </w:rPr>
      </w:pPr>
    </w:p>
    <w:p>
      <w:pPr>
        <w:spacing w:line="600" w:lineRule="exact"/>
        <w:jc w:val="both"/>
        <w:outlineLvl w:val="9"/>
        <w:rPr>
          <w:rFonts w:hint="eastAsia" w:ascii="仿宋_GB2312" w:eastAsia="仿宋_GB2312"/>
          <w:color w:val="auto"/>
          <w:sz w:val="32"/>
          <w:szCs w:val="32"/>
          <w:highlight w:val="none"/>
        </w:rPr>
      </w:pPr>
    </w:p>
    <w:p>
      <w:pPr>
        <w:pStyle w:val="2"/>
        <w:rPr>
          <w:rFonts w:hint="eastAsia" w:ascii="仿宋_GB2312" w:eastAsia="仿宋_GB2312"/>
          <w:color w:val="auto"/>
          <w:sz w:val="32"/>
          <w:szCs w:val="32"/>
          <w:highlight w:val="none"/>
        </w:rPr>
        <w:sectPr>
          <w:footerReference r:id="rId5" w:type="default"/>
          <w:pgSz w:w="11906" w:h="16838"/>
          <w:pgMar w:top="2098" w:right="1474" w:bottom="1531" w:left="1587" w:header="851" w:footer="1559" w:gutter="0"/>
          <w:pgNumType w:fmt="decimal" w:start="1"/>
          <w:cols w:space="425" w:num="1"/>
          <w:docGrid w:type="lines" w:linePitch="312" w:charSpace="0"/>
        </w:sectPr>
      </w:pPr>
    </w:p>
    <w:p>
      <w:pPr>
        <w:spacing w:line="600" w:lineRule="exact"/>
        <w:jc w:val="center"/>
        <w:outlineLvl w:val="0"/>
        <w:rPr>
          <w:rStyle w:val="17"/>
          <w:rFonts w:ascii="黑体" w:hAnsi="黑体" w:eastAsia="黑体"/>
          <w:b w:val="0"/>
          <w:color w:val="auto"/>
          <w:highlight w:val="none"/>
        </w:rPr>
      </w:pPr>
      <w:bookmarkStart w:id="87" w:name="_Toc299419917_WPSOffice_Level1"/>
      <w:bookmarkStart w:id="88" w:name="_Toc15739"/>
      <w:r>
        <w:rPr>
          <w:rFonts w:hint="eastAsia" w:ascii="黑体" w:hAnsi="黑体" w:eastAsia="黑体"/>
          <w:color w:val="auto"/>
          <w:sz w:val="44"/>
          <w:szCs w:val="44"/>
          <w:highlight w:val="none"/>
        </w:rPr>
        <w:t>第</w:t>
      </w:r>
      <w:r>
        <w:rPr>
          <w:rStyle w:val="17"/>
          <w:rFonts w:hint="eastAsia" w:ascii="黑体" w:hAnsi="黑体" w:eastAsia="黑体"/>
          <w:b w:val="0"/>
          <w:color w:val="auto"/>
          <w:highlight w:val="none"/>
        </w:rPr>
        <w:t>四部分 附件</w:t>
      </w:r>
      <w:bookmarkEnd w:id="86"/>
      <w:bookmarkEnd w:id="87"/>
      <w:bookmarkEnd w:id="88"/>
    </w:p>
    <w:p>
      <w:pPr>
        <w:widowControl/>
        <w:jc w:val="center"/>
        <w:rPr>
          <w:rStyle w:val="17"/>
          <w:rFonts w:hint="eastAsia" w:ascii="黑体" w:hAnsi="黑体" w:eastAsia="黑体"/>
          <w:b w:val="0"/>
          <w:color w:val="auto"/>
          <w:sz w:val="32"/>
          <w:szCs w:val="32"/>
          <w:highlight w:val="none"/>
        </w:rPr>
      </w:pPr>
      <w:r>
        <w:rPr>
          <w:rStyle w:val="17"/>
          <w:rFonts w:hint="eastAsia" w:ascii="黑体" w:hAnsi="黑体" w:eastAsia="黑体"/>
          <w:b w:val="0"/>
          <w:color w:val="auto"/>
          <w:sz w:val="32"/>
          <w:szCs w:val="32"/>
          <w:highlight w:val="none"/>
        </w:rPr>
        <w:t>部门预算项目支出绩效自评表（2022年度）</w:t>
      </w:r>
    </w:p>
    <w:tbl>
      <w:tblPr>
        <w:tblStyle w:val="13"/>
        <w:tblW w:w="137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5"/>
        <w:gridCol w:w="1544"/>
        <w:gridCol w:w="1509"/>
        <w:gridCol w:w="2080"/>
        <w:gridCol w:w="686"/>
        <w:gridCol w:w="1530"/>
        <w:gridCol w:w="716"/>
        <w:gridCol w:w="1088"/>
        <w:gridCol w:w="576"/>
        <w:gridCol w:w="630"/>
        <w:gridCol w:w="25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23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b/>
                <w:i w:val="0"/>
                <w:color w:val="000000"/>
                <w:sz w:val="18"/>
                <w:szCs w:val="18"/>
                <w:u w:val="none"/>
              </w:rPr>
            </w:pPr>
            <w:bookmarkStart w:id="89" w:name="_Toc792195461_WPSOffice_Level2"/>
            <w:bookmarkStart w:id="90" w:name="_Toc4068"/>
            <w:bookmarkStart w:id="91" w:name="_Toc15396618"/>
            <w:r>
              <w:rPr>
                <w:rFonts w:ascii="宋体" w:hAnsi="宋体" w:eastAsia="宋体" w:cs="宋体"/>
                <w:b/>
                <w:i w:val="0"/>
                <w:color w:val="000000"/>
                <w:kern w:val="0"/>
                <w:sz w:val="18"/>
                <w:szCs w:val="18"/>
                <w:u w:val="none"/>
                <w:lang w:val="en-US" w:eastAsia="zh-CN" w:bidi="ar"/>
              </w:rPr>
              <w:t>项目名称</w:t>
            </w:r>
          </w:p>
        </w:tc>
        <w:tc>
          <w:tcPr>
            <w:tcW w:w="1134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人员经费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23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主管部门</w:t>
            </w:r>
          </w:p>
        </w:tc>
        <w:tc>
          <w:tcPr>
            <w:tcW w:w="6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广元市财政局部门</w:t>
            </w:r>
          </w:p>
        </w:tc>
        <w:tc>
          <w:tcPr>
            <w:tcW w:w="109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实施单位 （盖章）</w:t>
            </w:r>
          </w:p>
        </w:tc>
        <w:tc>
          <w:tcPr>
            <w:tcW w:w="37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广元市财政局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项目基本情况</w:t>
            </w:r>
          </w:p>
        </w:tc>
        <w:tc>
          <w:tcPr>
            <w:tcW w:w="15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1.项目年度目标完成情况</w:t>
            </w:r>
          </w:p>
        </w:tc>
        <w:tc>
          <w:tcPr>
            <w:tcW w:w="6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项目年度目标</w:t>
            </w:r>
          </w:p>
        </w:tc>
        <w:tc>
          <w:tcPr>
            <w:tcW w:w="48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i w:val="0"/>
                <w:color w:val="000000"/>
                <w:sz w:val="18"/>
                <w:szCs w:val="18"/>
                <w:u w:val="none"/>
              </w:rPr>
            </w:pPr>
          </w:p>
        </w:tc>
        <w:tc>
          <w:tcPr>
            <w:tcW w:w="1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i w:val="0"/>
                <w:color w:val="000000"/>
                <w:sz w:val="18"/>
                <w:szCs w:val="18"/>
                <w:u w:val="none"/>
              </w:rPr>
            </w:pPr>
          </w:p>
        </w:tc>
        <w:tc>
          <w:tcPr>
            <w:tcW w:w="65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严格执行相关政策，保障工资及时发放、足额发放，预算编制科学合理，减少结余资金。</w:t>
            </w:r>
          </w:p>
        </w:tc>
        <w:tc>
          <w:tcPr>
            <w:tcW w:w="48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严格执行相关政策，保障了人员经费，确保了财政工作顺利开展。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i w:val="0"/>
                <w:color w:val="000000"/>
                <w:sz w:val="18"/>
                <w:szCs w:val="18"/>
                <w:u w:val="none"/>
              </w:rPr>
            </w:pPr>
          </w:p>
        </w:tc>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2.项目实施内容及过程概述</w:t>
            </w:r>
          </w:p>
        </w:tc>
        <w:tc>
          <w:tcPr>
            <w:tcW w:w="1134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在预算编制环节对人员经费绩效目标进行了绩效指标设定。在预算执行中，人员经费支出严格根据各项管理规定执行，保障了人员工资津补贴按时足额发放，预算执行进度达到预算管理要求，完成了年度预算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4" w:hRule="atLeast"/>
        </w:trPr>
        <w:tc>
          <w:tcPr>
            <w:tcW w:w="8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预算执行情况（10分）</w:t>
            </w:r>
          </w:p>
        </w:tc>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年度预算数（万元）</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年初预算</w:t>
            </w:r>
          </w:p>
        </w:tc>
        <w:tc>
          <w:tcPr>
            <w:tcW w:w="2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调整后预算数</w:t>
            </w:r>
          </w:p>
        </w:tc>
        <w:tc>
          <w:tcPr>
            <w:tcW w:w="29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预算执行率</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权重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得分</w:t>
            </w: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总额</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1,186.42</w:t>
            </w:r>
          </w:p>
        </w:tc>
        <w:tc>
          <w:tcPr>
            <w:tcW w:w="2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1,574.98</w:t>
            </w:r>
          </w:p>
        </w:tc>
        <w:tc>
          <w:tcPr>
            <w:tcW w:w="29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1,549.76</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98.39%</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2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其中：财政资金</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1,171.79</w:t>
            </w:r>
          </w:p>
        </w:tc>
        <w:tc>
          <w:tcPr>
            <w:tcW w:w="2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1,560.24</w:t>
            </w:r>
          </w:p>
        </w:tc>
        <w:tc>
          <w:tcPr>
            <w:tcW w:w="29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1,543.55</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98.93%</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财政专户管理资金</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9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单位资金</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9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其他资金</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14.63</w:t>
            </w:r>
          </w:p>
        </w:tc>
        <w:tc>
          <w:tcPr>
            <w:tcW w:w="2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14.74</w:t>
            </w:r>
          </w:p>
        </w:tc>
        <w:tc>
          <w:tcPr>
            <w:tcW w:w="29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6.21</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42.44%</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绩效指标（90分）</w:t>
            </w:r>
          </w:p>
        </w:tc>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一级指标</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二级指标</w:t>
            </w:r>
          </w:p>
        </w:tc>
        <w:tc>
          <w:tcPr>
            <w:tcW w:w="2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三级指标</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指标性质</w:t>
            </w:r>
          </w:p>
        </w:tc>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指标值</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度量单位</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完成值</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权重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得分</w:t>
            </w: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5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产出指标</w:t>
            </w:r>
          </w:p>
        </w:tc>
        <w:tc>
          <w:tcPr>
            <w:tcW w:w="15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2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按时发放率</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效益指标</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2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结余率（计算方法为：结余数/预算数）</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1.6</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003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      计</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254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评价结论</w:t>
            </w:r>
          </w:p>
        </w:tc>
        <w:tc>
          <w:tcPr>
            <w:tcW w:w="1289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人员经费支出严格根据各项管理规定执行，保障了人员工资津补贴按时足额发放，预算执行进度达到预算管理要求，完成了年度预算绩效目标。项目自评得分100分。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存在问题</w:t>
            </w:r>
          </w:p>
        </w:tc>
        <w:tc>
          <w:tcPr>
            <w:tcW w:w="1289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改进措施</w:t>
            </w:r>
          </w:p>
        </w:tc>
        <w:tc>
          <w:tcPr>
            <w:tcW w:w="1289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6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项目负责人：衡云云</w:t>
            </w:r>
          </w:p>
        </w:tc>
        <w:tc>
          <w:tcPr>
            <w:tcW w:w="705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财务负责人：衡云云</w:t>
            </w:r>
          </w:p>
        </w:tc>
      </w:tr>
    </w:tbl>
    <w:p>
      <w:pPr>
        <w:widowControl/>
        <w:jc w:val="both"/>
        <w:rPr>
          <w:rStyle w:val="17"/>
          <w:rFonts w:hint="eastAsia" w:ascii="黑体" w:hAnsi="黑体" w:eastAsia="黑体"/>
          <w:b w:val="0"/>
          <w:color w:val="auto"/>
          <w:sz w:val="32"/>
          <w:szCs w:val="32"/>
          <w:highlight w:val="none"/>
        </w:rPr>
      </w:pPr>
    </w:p>
    <w:p>
      <w:pPr>
        <w:widowControl/>
        <w:jc w:val="center"/>
        <w:rPr>
          <w:rStyle w:val="17"/>
          <w:rFonts w:hint="eastAsia" w:ascii="黑体" w:hAnsi="黑体" w:eastAsia="黑体"/>
          <w:b w:val="0"/>
          <w:color w:val="auto"/>
          <w:sz w:val="32"/>
          <w:szCs w:val="32"/>
          <w:highlight w:val="none"/>
        </w:rPr>
      </w:pPr>
    </w:p>
    <w:p>
      <w:pPr>
        <w:widowControl/>
        <w:jc w:val="center"/>
        <w:rPr>
          <w:rStyle w:val="17"/>
          <w:rFonts w:hint="eastAsia" w:ascii="黑体" w:hAnsi="黑体" w:eastAsia="黑体"/>
          <w:b w:val="0"/>
          <w:color w:val="auto"/>
          <w:sz w:val="32"/>
          <w:szCs w:val="32"/>
          <w:highlight w:val="none"/>
        </w:rPr>
      </w:pPr>
    </w:p>
    <w:p>
      <w:pPr>
        <w:widowControl/>
        <w:jc w:val="center"/>
        <w:rPr>
          <w:rStyle w:val="17"/>
          <w:rFonts w:hint="eastAsia" w:ascii="黑体" w:hAnsi="黑体" w:eastAsia="黑体"/>
          <w:b w:val="0"/>
          <w:color w:val="auto"/>
          <w:sz w:val="32"/>
          <w:szCs w:val="32"/>
          <w:highlight w:val="none"/>
        </w:rPr>
      </w:pPr>
    </w:p>
    <w:p>
      <w:pPr>
        <w:widowControl/>
        <w:jc w:val="center"/>
        <w:rPr>
          <w:rStyle w:val="17"/>
          <w:rFonts w:hint="eastAsia" w:ascii="黑体" w:hAnsi="黑体" w:eastAsia="黑体"/>
          <w:b w:val="0"/>
          <w:color w:val="auto"/>
          <w:sz w:val="32"/>
          <w:szCs w:val="32"/>
          <w:highlight w:val="none"/>
        </w:rPr>
      </w:pPr>
    </w:p>
    <w:p>
      <w:pPr>
        <w:widowControl/>
        <w:jc w:val="center"/>
        <w:rPr>
          <w:rStyle w:val="17"/>
          <w:rFonts w:hint="eastAsia" w:ascii="黑体" w:hAnsi="黑体" w:eastAsia="黑体"/>
          <w:b w:val="0"/>
          <w:color w:val="auto"/>
          <w:sz w:val="32"/>
          <w:szCs w:val="32"/>
          <w:highlight w:val="none"/>
        </w:rPr>
      </w:pPr>
    </w:p>
    <w:p>
      <w:pPr>
        <w:widowControl/>
        <w:jc w:val="center"/>
        <w:rPr>
          <w:rStyle w:val="17"/>
          <w:rFonts w:hint="eastAsia" w:ascii="黑体" w:hAnsi="黑体" w:eastAsia="黑体"/>
          <w:b w:val="0"/>
          <w:color w:val="auto"/>
          <w:sz w:val="32"/>
          <w:szCs w:val="32"/>
          <w:highlight w:val="none"/>
        </w:rPr>
      </w:pPr>
    </w:p>
    <w:p>
      <w:pPr>
        <w:widowControl/>
        <w:jc w:val="center"/>
        <w:rPr>
          <w:rStyle w:val="17"/>
          <w:rFonts w:hint="eastAsia" w:ascii="黑体" w:hAnsi="黑体" w:eastAsia="黑体"/>
          <w:b w:val="0"/>
          <w:color w:val="auto"/>
          <w:sz w:val="32"/>
          <w:szCs w:val="32"/>
          <w:highlight w:val="none"/>
        </w:rPr>
      </w:pPr>
      <w:r>
        <w:rPr>
          <w:rStyle w:val="17"/>
          <w:rFonts w:hint="eastAsia" w:ascii="黑体" w:hAnsi="黑体" w:eastAsia="黑体"/>
          <w:b w:val="0"/>
          <w:color w:val="auto"/>
          <w:sz w:val="32"/>
          <w:szCs w:val="32"/>
          <w:highlight w:val="none"/>
        </w:rPr>
        <w:t>部门预算项目支出绩效自评表（2022年度）</w:t>
      </w:r>
    </w:p>
    <w:tbl>
      <w:tblPr>
        <w:tblStyle w:val="13"/>
        <w:tblW w:w="1330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76"/>
        <w:gridCol w:w="1784"/>
        <w:gridCol w:w="756"/>
        <w:gridCol w:w="2094"/>
        <w:gridCol w:w="614"/>
        <w:gridCol w:w="1076"/>
        <w:gridCol w:w="1076"/>
        <w:gridCol w:w="1078"/>
        <w:gridCol w:w="1077"/>
        <w:gridCol w:w="1077"/>
        <w:gridCol w:w="15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28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项目名称</w:t>
            </w:r>
          </w:p>
        </w:tc>
        <w:tc>
          <w:tcPr>
            <w:tcW w:w="1043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8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主管部门</w:t>
            </w:r>
          </w:p>
        </w:tc>
        <w:tc>
          <w:tcPr>
            <w:tcW w:w="558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广元市财政局部门</w:t>
            </w:r>
          </w:p>
        </w:tc>
        <w:tc>
          <w:tcPr>
            <w:tcW w:w="10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实施单位 （盖章）</w:t>
            </w:r>
          </w:p>
        </w:tc>
        <w:tc>
          <w:tcPr>
            <w:tcW w:w="37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广元市财政局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项目基本情况</w:t>
            </w:r>
          </w:p>
        </w:tc>
        <w:tc>
          <w:tcPr>
            <w:tcW w:w="17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1.项目年度目标完成情况</w:t>
            </w:r>
          </w:p>
        </w:tc>
        <w:tc>
          <w:tcPr>
            <w:tcW w:w="558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项目年度目标</w:t>
            </w:r>
          </w:p>
        </w:tc>
        <w:tc>
          <w:tcPr>
            <w:tcW w:w="48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i w:val="0"/>
                <w:color w:val="000000"/>
                <w:sz w:val="18"/>
                <w:szCs w:val="18"/>
                <w:u w:val="none"/>
              </w:rPr>
            </w:pPr>
          </w:p>
        </w:tc>
        <w:tc>
          <w:tcPr>
            <w:tcW w:w="1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i w:val="0"/>
                <w:color w:val="000000"/>
                <w:sz w:val="18"/>
                <w:szCs w:val="18"/>
                <w:u w:val="none"/>
              </w:rPr>
            </w:pPr>
          </w:p>
        </w:tc>
        <w:tc>
          <w:tcPr>
            <w:tcW w:w="558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预算编制科学合理，严格执行相关政策，保障单位日常运转，严格执行预算。</w:t>
            </w:r>
          </w:p>
        </w:tc>
        <w:tc>
          <w:tcPr>
            <w:tcW w:w="48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公用经费支出保障了财政工作顺利开展，预算执行进度达到预算管理要求，完成了年度预算绩效目标。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3"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i w:val="0"/>
                <w:color w:val="000000"/>
                <w:sz w:val="18"/>
                <w:szCs w:val="18"/>
                <w:u w:val="none"/>
              </w:rPr>
            </w:pPr>
          </w:p>
        </w:tc>
        <w:tc>
          <w:tcPr>
            <w:tcW w:w="1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2.项目实施内容及过程概述</w:t>
            </w:r>
          </w:p>
        </w:tc>
        <w:tc>
          <w:tcPr>
            <w:tcW w:w="1043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在预算编制环节对公用经费绩效目标进行了绩效指标设定，准确预测全年运转支出项目。在预算执行中，加强日常运转经费管理，严格支出审批及报销，公用经费支出严格根据各项管理规定执行，保障了财政工作顺利开展，预算执行进度达到预算管理要求，完成了年度预算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预算执行情况（10分）</w:t>
            </w:r>
          </w:p>
        </w:tc>
        <w:tc>
          <w:tcPr>
            <w:tcW w:w="1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年度预算数（万元）</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年初预算</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调整后预算数</w:t>
            </w:r>
          </w:p>
        </w:tc>
        <w:tc>
          <w:tcPr>
            <w:tcW w:w="27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预算执行数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预算执行率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权重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得分</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总额</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202.98</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203.15</w:t>
            </w:r>
          </w:p>
        </w:tc>
        <w:tc>
          <w:tcPr>
            <w:tcW w:w="27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200.09</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98.49%</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6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其中：财政资金</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202.98</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203.15</w:t>
            </w:r>
          </w:p>
        </w:tc>
        <w:tc>
          <w:tcPr>
            <w:tcW w:w="27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200.09</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98.49%</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财政专户管理资金</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7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单位资金</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7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其他资金</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7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6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绩效指标（90分）</w:t>
            </w:r>
          </w:p>
        </w:tc>
        <w:tc>
          <w:tcPr>
            <w:tcW w:w="1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一级指标</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二级指标</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三级指标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指标性质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度量单位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完成值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权重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得分</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7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产出指标</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预算编制准确率（计算方法为：∣（执行数-预算数）/预算数∣）</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7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效益指标</w:t>
            </w:r>
          </w:p>
        </w:tc>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运转保障率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“三公经费”控制率[计算方法为：（三公经费实际支出数/预算安排数]×100%）</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66.86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5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      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评价结论</w:t>
            </w:r>
          </w:p>
        </w:tc>
        <w:tc>
          <w:tcPr>
            <w:tcW w:w="122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公用经费支出严格根据各项管理规定执行，保障了财政工作顺利开展，预算执行进度达到预算管理要求，完成了年度预算绩效目标。项目自评得分100分。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存在问题</w:t>
            </w:r>
          </w:p>
        </w:tc>
        <w:tc>
          <w:tcPr>
            <w:tcW w:w="122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i w:val="0"/>
                <w:color w:val="000000"/>
                <w:sz w:val="18"/>
                <w:szCs w:val="18"/>
                <w:u w:val="none"/>
              </w:rPr>
            </w:pPr>
            <w:r>
              <w:rPr>
                <w:rFonts w:ascii="宋体" w:hAnsi="宋体" w:eastAsia="宋体" w:cs="宋体"/>
                <w:b/>
                <w:i w:val="0"/>
                <w:color w:val="000000"/>
                <w:kern w:val="0"/>
                <w:sz w:val="18"/>
                <w:szCs w:val="18"/>
                <w:u w:val="none"/>
                <w:lang w:val="en-US" w:eastAsia="zh-CN" w:bidi="ar"/>
              </w:rPr>
              <w:t>改进措施</w:t>
            </w:r>
          </w:p>
        </w:tc>
        <w:tc>
          <w:tcPr>
            <w:tcW w:w="122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3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项目负责人：衡云云</w:t>
            </w:r>
          </w:p>
        </w:tc>
        <w:tc>
          <w:tcPr>
            <w:tcW w:w="700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财务负责人：衡云云</w:t>
            </w:r>
          </w:p>
        </w:tc>
      </w:tr>
    </w:tbl>
    <w:p>
      <w:pPr>
        <w:widowControl/>
        <w:jc w:val="center"/>
        <w:rPr>
          <w:rStyle w:val="17"/>
          <w:rFonts w:hint="eastAsia" w:ascii="黑体" w:hAnsi="黑体" w:eastAsia="黑体"/>
          <w:b w:val="0"/>
          <w:color w:val="auto"/>
          <w:sz w:val="32"/>
          <w:szCs w:val="32"/>
          <w:highlight w:val="none"/>
        </w:rPr>
      </w:pPr>
    </w:p>
    <w:p>
      <w:pPr>
        <w:widowControl/>
        <w:jc w:val="center"/>
        <w:rPr>
          <w:rStyle w:val="17"/>
          <w:rFonts w:hint="eastAsia" w:ascii="黑体" w:hAnsi="黑体" w:eastAsia="黑体"/>
          <w:b w:val="0"/>
          <w:color w:val="auto"/>
          <w:sz w:val="32"/>
          <w:szCs w:val="32"/>
          <w:highlight w:val="none"/>
        </w:rPr>
      </w:pPr>
    </w:p>
    <w:p>
      <w:pPr>
        <w:widowControl/>
        <w:jc w:val="center"/>
        <w:rPr>
          <w:rStyle w:val="17"/>
          <w:rFonts w:hint="eastAsia" w:ascii="黑体" w:hAnsi="黑体" w:eastAsia="黑体"/>
          <w:b w:val="0"/>
          <w:color w:val="auto"/>
          <w:sz w:val="32"/>
          <w:szCs w:val="32"/>
          <w:highlight w:val="none"/>
        </w:rPr>
      </w:pPr>
    </w:p>
    <w:p>
      <w:pPr>
        <w:widowControl/>
        <w:jc w:val="center"/>
        <w:rPr>
          <w:rStyle w:val="17"/>
          <w:rFonts w:hint="eastAsia" w:ascii="黑体" w:hAnsi="黑体" w:eastAsia="黑体"/>
          <w:b w:val="0"/>
          <w:color w:val="auto"/>
          <w:sz w:val="32"/>
          <w:szCs w:val="32"/>
          <w:highlight w:val="none"/>
        </w:rPr>
      </w:pPr>
    </w:p>
    <w:p>
      <w:pPr>
        <w:widowControl/>
        <w:jc w:val="center"/>
        <w:rPr>
          <w:rStyle w:val="17"/>
          <w:rFonts w:hint="eastAsia" w:ascii="黑体" w:hAnsi="黑体" w:eastAsia="黑体"/>
          <w:b w:val="0"/>
          <w:color w:val="auto"/>
          <w:sz w:val="32"/>
          <w:szCs w:val="32"/>
          <w:highlight w:val="none"/>
        </w:rPr>
      </w:pPr>
    </w:p>
    <w:p>
      <w:pPr>
        <w:widowControl/>
        <w:jc w:val="center"/>
        <w:rPr>
          <w:rStyle w:val="17"/>
          <w:rFonts w:hint="eastAsia" w:ascii="黑体" w:hAnsi="黑体" w:eastAsia="黑体"/>
          <w:b w:val="0"/>
          <w:color w:val="auto"/>
          <w:sz w:val="32"/>
          <w:szCs w:val="32"/>
          <w:highlight w:val="none"/>
        </w:rPr>
      </w:pPr>
    </w:p>
    <w:p>
      <w:pPr>
        <w:widowControl/>
        <w:jc w:val="center"/>
        <w:rPr>
          <w:rStyle w:val="17"/>
          <w:rFonts w:ascii="黑体" w:hAnsi="黑体" w:eastAsia="黑体"/>
          <w:b w:val="0"/>
          <w:color w:val="auto"/>
          <w:sz w:val="32"/>
          <w:szCs w:val="32"/>
          <w:highlight w:val="none"/>
        </w:rPr>
      </w:pPr>
      <w:r>
        <w:rPr>
          <w:rStyle w:val="17"/>
          <w:rFonts w:hint="eastAsia" w:ascii="黑体" w:hAnsi="黑体" w:eastAsia="黑体"/>
          <w:b w:val="0"/>
          <w:color w:val="auto"/>
          <w:sz w:val="32"/>
          <w:szCs w:val="32"/>
          <w:highlight w:val="none"/>
        </w:rPr>
        <w:t>部门预算、专项资金预算项目支出绩效目标自评表（2022年度）</w:t>
      </w:r>
      <w:bookmarkEnd w:id="89"/>
    </w:p>
    <w:bookmarkEnd w:id="90"/>
    <w:tbl>
      <w:tblPr>
        <w:tblStyle w:val="13"/>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96"/>
        <w:gridCol w:w="1213"/>
        <w:gridCol w:w="1052"/>
        <w:gridCol w:w="1454"/>
        <w:gridCol w:w="502"/>
        <w:gridCol w:w="1167"/>
        <w:gridCol w:w="504"/>
        <w:gridCol w:w="1049"/>
        <w:gridCol w:w="730"/>
        <w:gridCol w:w="907"/>
        <w:gridCol w:w="1180"/>
        <w:gridCol w:w="20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0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95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OA协同办公通信服务费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10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主管部门（盖章）</w:t>
            </w:r>
          </w:p>
        </w:tc>
        <w:tc>
          <w:tcPr>
            <w:tcW w:w="174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广元市财政局</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实施单位 （盖章）</w:t>
            </w:r>
          </w:p>
        </w:tc>
        <w:tc>
          <w:tcPr>
            <w:tcW w:w="181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广元市财政局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7" w:hRule="atLeast"/>
        </w:trPr>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项目基本情况</w:t>
            </w:r>
          </w:p>
        </w:tc>
        <w:tc>
          <w:tcPr>
            <w:tcW w:w="4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1.项目年度目标完成情况</w:t>
            </w:r>
          </w:p>
        </w:tc>
        <w:tc>
          <w:tcPr>
            <w:tcW w:w="174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项目年度目标</w:t>
            </w:r>
          </w:p>
        </w:tc>
        <w:tc>
          <w:tcPr>
            <w:tcW w:w="220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8" w:hRule="atLeast"/>
        </w:trPr>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8"/>
                <w:szCs w:val="18"/>
                <w:u w:val="none"/>
              </w:rPr>
            </w:pPr>
          </w:p>
        </w:tc>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8"/>
                <w:szCs w:val="18"/>
                <w:u w:val="none"/>
              </w:rPr>
            </w:pPr>
          </w:p>
        </w:tc>
        <w:tc>
          <w:tcPr>
            <w:tcW w:w="174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确保OA协同办公软件正常使用，保障财政工作正常开展。</w:t>
            </w:r>
          </w:p>
        </w:tc>
        <w:tc>
          <w:tcPr>
            <w:tcW w:w="220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OA协同办公软件正常使用，切实保障了财政工作正常开展。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trPr>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8"/>
                <w:szCs w:val="18"/>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2.项目实施内容及过程概述</w:t>
            </w:r>
          </w:p>
        </w:tc>
        <w:tc>
          <w:tcPr>
            <w:tcW w:w="3952"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主要保障全局干部职工实现广元市委、市政府、市级相关部门进行无缝对接，实现数据交互、信息共享等功能，确保OA内控协同办公平台系统基础设置、预算管理、收支管理、资产管理、合同管理、文档管理、公文管理、会议管理、人事管理、公共信息、办公用品管理、车辆管理等模块提供技术咨询和移动办公流量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预算执行情况（10分）</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年度预算数（万元）</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年初预算</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调整后预算数</w:t>
            </w:r>
          </w:p>
        </w:tc>
        <w:tc>
          <w:tcPr>
            <w:tcW w:w="8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预算执行数</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预算执行率</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权重%</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部门自评得分</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财政部门科室复评得分</w:t>
            </w: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8"/>
                <w:szCs w:val="18"/>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总额</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28.77</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8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28.77</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7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8"/>
                <w:szCs w:val="18"/>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其中：财政资金</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28.77</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8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28.77</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8"/>
                <w:szCs w:val="18"/>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财政专户管理资金</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8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trPr>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8"/>
                <w:szCs w:val="18"/>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单位资金</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8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8"/>
                <w:szCs w:val="18"/>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其他资金</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80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7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5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绩效指标（90分）</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指标性质</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度量单位</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完成值</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权重</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部门自评得分</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财政部门科室复评得分</w:t>
            </w: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8"/>
                <w:szCs w:val="18"/>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数据流量</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8"/>
                <w:szCs w:val="18"/>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系统正常使用率</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8"/>
                <w:szCs w:val="18"/>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使用时效</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8"/>
                <w:szCs w:val="18"/>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服务费用</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28.77</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28.77</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8"/>
                <w:szCs w:val="18"/>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节能降耗</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优</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级</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优</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8"/>
                <w:szCs w:val="18"/>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财政工作效率</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优</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级</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优</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8"/>
                <w:szCs w:val="18"/>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5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使用人员满意度</w:t>
            </w:r>
          </w:p>
        </w:tc>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81"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合计</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7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部门（单位）自评结论</w:t>
            </w:r>
          </w:p>
        </w:tc>
        <w:tc>
          <w:tcPr>
            <w:tcW w:w="4404"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通过自评，该项目预算执行进度好，系统正常使用率达到100%，全力保障了财政工作的开展，圆满完成年度目标任务，自评得分100分。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部门（单位）自评存在问题</w:t>
            </w:r>
          </w:p>
        </w:tc>
        <w:tc>
          <w:tcPr>
            <w:tcW w:w="4404"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项目绩效目标设置还不够量化和细化。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部门（单位）自评改进措施</w:t>
            </w:r>
          </w:p>
        </w:tc>
        <w:tc>
          <w:tcPr>
            <w:tcW w:w="4404"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细化预算编制工作，提升项目绩效目标合理性。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财政部门对口科室复评结论及整改要求</w:t>
            </w:r>
          </w:p>
        </w:tc>
        <w:tc>
          <w:tcPr>
            <w:tcW w:w="4404"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单位项目负责人：</w:t>
            </w:r>
          </w:p>
        </w:tc>
        <w:tc>
          <w:tcPr>
            <w:tcW w:w="283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单位财务负责人：衡云云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部门项目负责人：</w:t>
            </w:r>
          </w:p>
        </w:tc>
        <w:tc>
          <w:tcPr>
            <w:tcW w:w="283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部门财务负责人：衡云云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财政部门科室负责人：</w:t>
            </w:r>
          </w:p>
        </w:tc>
      </w:tr>
    </w:tbl>
    <w:p>
      <w:pPr>
        <w:spacing w:line="600" w:lineRule="exact"/>
        <w:jc w:val="left"/>
        <w:outlineLvl w:val="9"/>
        <w:rPr>
          <w:rFonts w:hint="eastAsia" w:ascii="黑体" w:hAnsi="黑体" w:eastAsia="黑体"/>
          <w:color w:val="auto"/>
          <w:sz w:val="32"/>
          <w:szCs w:val="32"/>
          <w:highlight w:val="none"/>
        </w:rPr>
      </w:pPr>
    </w:p>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1"/>
        <w:rPr>
          <w:rStyle w:val="17"/>
          <w:rFonts w:hint="eastAsia" w:ascii="黑体" w:hAnsi="黑体" w:eastAsia="黑体"/>
          <w:b w:val="0"/>
          <w:color w:val="auto"/>
          <w:sz w:val="32"/>
          <w:szCs w:val="32"/>
          <w:highlight w:val="none"/>
        </w:rPr>
      </w:pPr>
      <w:bookmarkStart w:id="92" w:name="_Toc1606268371_WPSOffice_Level2"/>
      <w:bookmarkStart w:id="93" w:name="_Toc704"/>
    </w:p>
    <w:p>
      <w:pPr>
        <w:spacing w:line="600" w:lineRule="exact"/>
        <w:jc w:val="center"/>
        <w:outlineLvl w:val="1"/>
        <w:rPr>
          <w:rStyle w:val="17"/>
          <w:rFonts w:hint="eastAsia" w:ascii="黑体" w:hAnsi="黑体" w:eastAsia="黑体"/>
          <w:b w:val="0"/>
          <w:color w:val="auto"/>
          <w:sz w:val="32"/>
          <w:szCs w:val="32"/>
          <w:highlight w:val="none"/>
        </w:rPr>
      </w:pPr>
    </w:p>
    <w:p>
      <w:pPr>
        <w:spacing w:line="600" w:lineRule="exact"/>
        <w:jc w:val="center"/>
        <w:outlineLvl w:val="1"/>
        <w:rPr>
          <w:rStyle w:val="17"/>
          <w:rFonts w:hint="eastAsia" w:ascii="黑体" w:hAnsi="黑体" w:eastAsia="黑体"/>
          <w:b w:val="0"/>
          <w:color w:val="auto"/>
          <w:sz w:val="32"/>
          <w:szCs w:val="32"/>
          <w:highlight w:val="none"/>
        </w:rPr>
      </w:pPr>
      <w:r>
        <w:rPr>
          <w:rStyle w:val="17"/>
          <w:rFonts w:hint="eastAsia" w:ascii="黑体" w:hAnsi="黑体" w:eastAsia="黑体"/>
          <w:b w:val="0"/>
          <w:color w:val="auto"/>
          <w:sz w:val="32"/>
          <w:szCs w:val="32"/>
          <w:highlight w:val="none"/>
        </w:rPr>
        <w:t>部门预算、专项资金预算项目支出绩效目标自评表（2022年度）</w:t>
      </w:r>
      <w:bookmarkEnd w:id="92"/>
      <w:bookmarkEnd w:id="93"/>
    </w:p>
    <w:p>
      <w:pPr>
        <w:pStyle w:val="2"/>
        <w:rPr>
          <w:rFonts w:hint="eastAsia"/>
        </w:rPr>
      </w:pPr>
    </w:p>
    <w:tbl>
      <w:tblPr>
        <w:tblStyle w:val="13"/>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90"/>
        <w:gridCol w:w="1100"/>
        <w:gridCol w:w="1065"/>
        <w:gridCol w:w="1497"/>
        <w:gridCol w:w="689"/>
        <w:gridCol w:w="853"/>
        <w:gridCol w:w="695"/>
        <w:gridCol w:w="743"/>
        <w:gridCol w:w="614"/>
        <w:gridCol w:w="786"/>
        <w:gridCol w:w="1031"/>
        <w:gridCol w:w="30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项目名称</w:t>
            </w:r>
          </w:p>
        </w:tc>
        <w:tc>
          <w:tcPr>
            <w:tcW w:w="410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财政购买服务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8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主管部门（盖章）</w:t>
            </w:r>
          </w:p>
        </w:tc>
        <w:tc>
          <w:tcPr>
            <w:tcW w:w="17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广元市财政局</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实施单位 （盖章）</w:t>
            </w:r>
          </w:p>
        </w:tc>
        <w:tc>
          <w:tcPr>
            <w:tcW w:w="204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广元市财政局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8" w:hRule="atLeast"/>
        </w:trPr>
        <w:tc>
          <w:tcPr>
            <w:tcW w:w="4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项目基本情况</w:t>
            </w:r>
          </w:p>
        </w:tc>
        <w:tc>
          <w:tcPr>
            <w:tcW w:w="4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1.项目年度目标完成情况</w:t>
            </w:r>
          </w:p>
        </w:tc>
        <w:tc>
          <w:tcPr>
            <w:tcW w:w="17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项目年度目标</w:t>
            </w:r>
          </w:p>
        </w:tc>
        <w:tc>
          <w:tcPr>
            <w:tcW w:w="231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trPr>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4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17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320" w:firstLineChars="20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为全局干部职工顺利开展各项财政工作完成各项目标任务提供高质量的后勤保障,努力提升财政服务质量。</w:t>
            </w:r>
          </w:p>
        </w:tc>
        <w:tc>
          <w:tcPr>
            <w:tcW w:w="231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320" w:firstLineChars="20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为全局干部职工顺利开展各项财政工作完成各项目标任务提供高质量的后勤保障,努力提升财政服务质量。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trPr>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2.项目实施内容及过程概述</w:t>
            </w:r>
          </w:p>
        </w:tc>
        <w:tc>
          <w:tcPr>
            <w:tcW w:w="410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该项目属于政府采购项目，通过竞争性磋商方式采购的服务项目，采购程序符合管理规定，通过实施该项目保障了财政部门职能的充分发挥，一定程度节约了机关运行成本。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2" w:hRule="atLeast"/>
        </w:trPr>
        <w:tc>
          <w:tcPr>
            <w:tcW w:w="4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预算执行情况（10分）</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年度预算数（万元）</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年初预算</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调整后预算数</w:t>
            </w:r>
          </w:p>
        </w:tc>
        <w:tc>
          <w:tcPr>
            <w:tcW w:w="83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预算执行数</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预算执行率</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权重%</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部门自评得分</w:t>
            </w: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财政部门科室复评得分</w:t>
            </w:r>
          </w:p>
        </w:tc>
        <w:tc>
          <w:tcPr>
            <w:tcW w:w="11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总额</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79.7</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83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79.7</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cs="宋体"/>
                <w:i w:val="0"/>
                <w:color w:val="000000"/>
                <w:kern w:val="0"/>
                <w:sz w:val="16"/>
                <w:szCs w:val="16"/>
                <w:u w:val="none"/>
                <w:lang w:val="en-US" w:eastAsia="zh-CN" w:bidi="ar"/>
              </w:rPr>
              <w:t>100</w:t>
            </w:r>
            <w:r>
              <w:rPr>
                <w:rFonts w:hint="eastAsia" w:ascii="宋体" w:hAnsi="宋体" w:eastAsia="宋体" w:cs="宋体"/>
                <w:i w:val="0"/>
                <w:color w:val="000000"/>
                <w:kern w:val="0"/>
                <w:sz w:val="16"/>
                <w:szCs w:val="16"/>
                <w:u w:val="none"/>
                <w:lang w:val="en-US" w:eastAsia="zh-CN" w:bidi="ar"/>
              </w:rPr>
              <w:t>%</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其中：财政资金</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79.7</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83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79.7</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cs="宋体"/>
                <w:i w:val="0"/>
                <w:color w:val="000000"/>
                <w:kern w:val="0"/>
                <w:sz w:val="16"/>
                <w:szCs w:val="16"/>
                <w:u w:val="none"/>
                <w:lang w:val="en-US" w:eastAsia="zh-CN" w:bidi="ar"/>
              </w:rPr>
              <w:t>100</w:t>
            </w:r>
            <w:r>
              <w:rPr>
                <w:rFonts w:hint="eastAsia" w:ascii="宋体" w:hAnsi="宋体" w:eastAsia="宋体" w:cs="宋体"/>
                <w:i w:val="0"/>
                <w:color w:val="000000"/>
                <w:kern w:val="0"/>
                <w:sz w:val="16"/>
                <w:szCs w:val="16"/>
                <w:u w:val="none"/>
                <w:lang w:val="en-US" w:eastAsia="zh-CN" w:bidi="ar"/>
              </w:rPr>
              <w:t>%</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trPr>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财政专户管理资金</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83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单位资金</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83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其他资金</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83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48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绩效指标（90分）</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一级指标</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二级指标</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三级指标</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指标性质</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指标值</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度量单位</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完成值</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权重</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部门自评得分</w:t>
            </w: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财政部门科室复评得分</w:t>
            </w:r>
          </w:p>
        </w:tc>
        <w:tc>
          <w:tcPr>
            <w:tcW w:w="11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trPr>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成本指标</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购买服务费</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79.7</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万元</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79.7</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质量指标</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服务质量</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数量指标</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服务内容</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时效指标</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服务时效</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2022</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年</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2022</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社会效益指标</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财政工作开展</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生态效益指标</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服务环境</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8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满意度指标</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服务对象满意度指标</w:t>
            </w:r>
          </w:p>
        </w:tc>
        <w:tc>
          <w:tcPr>
            <w:tcW w:w="5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职工满意度</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90</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95</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95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合计</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2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c>
          <w:tcPr>
            <w:tcW w:w="11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7" w:hRule="atLeast"/>
        </w:trPr>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部门（单位）自评结论</w:t>
            </w:r>
          </w:p>
        </w:tc>
        <w:tc>
          <w:tcPr>
            <w:tcW w:w="4518"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通过自评，该项目预算执行进度好，共完成服务内容8 项，全力保障了财政工作的开展，确保圆满完成年度目标任务，自评得分100分。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部门（单位）自评存在问题</w:t>
            </w:r>
          </w:p>
        </w:tc>
        <w:tc>
          <w:tcPr>
            <w:tcW w:w="4518"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部门（单位）自评改进措施</w:t>
            </w:r>
          </w:p>
        </w:tc>
        <w:tc>
          <w:tcPr>
            <w:tcW w:w="4518"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财政部门对口科室复评结论及整改要求</w:t>
            </w:r>
          </w:p>
        </w:tc>
        <w:tc>
          <w:tcPr>
            <w:tcW w:w="4518"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0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单位项目负责人：</w:t>
            </w:r>
          </w:p>
        </w:tc>
        <w:tc>
          <w:tcPr>
            <w:tcW w:w="289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单位财务负责人：衡云云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0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部门项目负责人：</w:t>
            </w:r>
          </w:p>
        </w:tc>
        <w:tc>
          <w:tcPr>
            <w:tcW w:w="289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部门财务负责人：衡云云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财政部门科室负责人：</w:t>
            </w:r>
          </w:p>
        </w:tc>
      </w:tr>
    </w:tbl>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bookmarkStart w:id="94" w:name="_Toc9369"/>
      <w:bookmarkStart w:id="95" w:name="_Toc1663236356_WPSOffice_Level2"/>
      <w:r>
        <w:rPr>
          <w:rStyle w:val="17"/>
          <w:rFonts w:hint="eastAsia" w:ascii="黑体" w:hAnsi="黑体" w:eastAsia="黑体"/>
          <w:b w:val="0"/>
          <w:color w:val="auto"/>
          <w:sz w:val="32"/>
          <w:szCs w:val="32"/>
          <w:highlight w:val="none"/>
        </w:rPr>
        <w:t>部门预算、专项资金预算项目支出绩效目标自评表（2022年度）</w:t>
      </w:r>
      <w:bookmarkEnd w:id="94"/>
      <w:bookmarkEnd w:id="95"/>
    </w:p>
    <w:tbl>
      <w:tblPr>
        <w:tblStyle w:val="13"/>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14"/>
        <w:gridCol w:w="1374"/>
        <w:gridCol w:w="1105"/>
        <w:gridCol w:w="1341"/>
        <w:gridCol w:w="622"/>
        <w:gridCol w:w="891"/>
        <w:gridCol w:w="636"/>
        <w:gridCol w:w="864"/>
        <w:gridCol w:w="601"/>
        <w:gridCol w:w="746"/>
        <w:gridCol w:w="907"/>
        <w:gridCol w:w="30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5" w:hRule="atLeast"/>
        </w:trPr>
        <w:tc>
          <w:tcPr>
            <w:tcW w:w="10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项目名称</w:t>
            </w:r>
          </w:p>
        </w:tc>
        <w:tc>
          <w:tcPr>
            <w:tcW w:w="399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财政管理设备采购经费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10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主管部门（盖章）</w:t>
            </w:r>
          </w:p>
        </w:tc>
        <w:tc>
          <w:tcPr>
            <w:tcW w:w="171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广元市财政局</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实施单位 （盖章）</w:t>
            </w:r>
          </w:p>
        </w:tc>
        <w:tc>
          <w:tcPr>
            <w:tcW w:w="196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广元市财政局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2" w:hRule="atLeast"/>
        </w:trPr>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项目基本情况</w:t>
            </w:r>
          </w:p>
        </w:tc>
        <w:tc>
          <w:tcPr>
            <w:tcW w:w="5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1.项目年度目标完成情况</w:t>
            </w:r>
          </w:p>
        </w:tc>
        <w:tc>
          <w:tcPr>
            <w:tcW w:w="171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项目年度目标</w:t>
            </w:r>
          </w:p>
        </w:tc>
        <w:tc>
          <w:tcPr>
            <w:tcW w:w="228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171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完善财政工作办公环境，优化办公设备，提高工作效率，保证财政工作有序开展。</w:t>
            </w:r>
          </w:p>
        </w:tc>
        <w:tc>
          <w:tcPr>
            <w:tcW w:w="228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通过实施该项目，采购办公设备16台，进一步优化办公设备，推进了国产化设备替换工作，保障了财政工作有序开展。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7"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2.项目实施内容及过程概述</w:t>
            </w:r>
          </w:p>
        </w:tc>
        <w:tc>
          <w:tcPr>
            <w:tcW w:w="399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项目严格按照规定实施，属于集采目录内的物品按照管理规定进行采购，均为保障财政工作开展必须配备的设备和物品，同时严格按规定审批及报销。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2" w:hRule="atLeast"/>
        </w:trPr>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预算执行情况（10分）</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年度预算数（万元）</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年初预算</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调整后预算数</w:t>
            </w:r>
          </w:p>
        </w:tc>
        <w:tc>
          <w:tcPr>
            <w:tcW w:w="79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预算执行数</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预算执行率</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权重%</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部门自评得分</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财政部门科室复评得分</w:t>
            </w:r>
          </w:p>
        </w:tc>
        <w:tc>
          <w:tcPr>
            <w:tcW w:w="11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总额</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eastAsia="zh-CN"/>
              </w:rPr>
            </w:pPr>
            <w:r>
              <w:rPr>
                <w:rFonts w:hint="eastAsia" w:ascii="宋体" w:hAnsi="宋体" w:cs="宋体"/>
                <w:i w:val="0"/>
                <w:color w:val="000000"/>
                <w:sz w:val="16"/>
                <w:szCs w:val="16"/>
                <w:u w:val="none"/>
                <w:lang w:val="en-US" w:eastAsia="zh-CN"/>
              </w:rPr>
              <w:t>29.94</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9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cs="宋体"/>
                <w:i w:val="0"/>
                <w:color w:val="000000"/>
                <w:sz w:val="16"/>
                <w:szCs w:val="16"/>
                <w:u w:val="none"/>
                <w:lang w:val="en-US" w:eastAsia="zh-CN"/>
              </w:rPr>
              <w:t>29.94</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cs="宋体"/>
                <w:i w:val="0"/>
                <w:color w:val="000000"/>
                <w:kern w:val="0"/>
                <w:sz w:val="16"/>
                <w:szCs w:val="16"/>
                <w:u w:val="none"/>
                <w:lang w:val="en-US" w:eastAsia="zh-CN" w:bidi="ar"/>
              </w:rPr>
              <w:t>100</w:t>
            </w:r>
            <w:r>
              <w:rPr>
                <w:rFonts w:hint="eastAsia" w:ascii="宋体" w:hAnsi="宋体" w:eastAsia="宋体" w:cs="宋体"/>
                <w:i w:val="0"/>
                <w:color w:val="000000"/>
                <w:kern w:val="0"/>
                <w:sz w:val="16"/>
                <w:szCs w:val="16"/>
                <w:u w:val="none"/>
                <w:lang w:val="en-US" w:eastAsia="zh-CN" w:bidi="ar"/>
              </w:rPr>
              <w:t>%</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其中：财政资金</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29.94</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9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cs="宋体"/>
                <w:i w:val="0"/>
                <w:color w:val="000000"/>
                <w:sz w:val="16"/>
                <w:szCs w:val="16"/>
                <w:u w:val="none"/>
                <w:lang w:val="en-US" w:eastAsia="zh-CN"/>
              </w:rPr>
              <w:t>29.94</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cs="宋体"/>
                <w:i w:val="0"/>
                <w:color w:val="000000"/>
                <w:kern w:val="0"/>
                <w:sz w:val="16"/>
                <w:szCs w:val="16"/>
                <w:u w:val="none"/>
                <w:lang w:val="en-US" w:eastAsia="zh-CN" w:bidi="ar"/>
              </w:rPr>
              <w:t>100</w:t>
            </w:r>
            <w:r>
              <w:rPr>
                <w:rFonts w:hint="eastAsia" w:ascii="宋体" w:hAnsi="宋体" w:eastAsia="宋体" w:cs="宋体"/>
                <w:i w:val="0"/>
                <w:color w:val="000000"/>
                <w:kern w:val="0"/>
                <w:sz w:val="16"/>
                <w:szCs w:val="16"/>
                <w:u w:val="none"/>
                <w:lang w:val="en-US" w:eastAsia="zh-CN" w:bidi="ar"/>
              </w:rPr>
              <w:t>%</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财政专户管理资金</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9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单位资金</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9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其他资金</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9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绩效指标（90分）</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一级指标</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二级指标</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三级指标</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指标性质</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指标值</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度量单位</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完成值</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权重</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部门自评得分</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财政部门科室复评得分</w:t>
            </w:r>
          </w:p>
        </w:tc>
        <w:tc>
          <w:tcPr>
            <w:tcW w:w="11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成本指标</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成本指标</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打印纸采购</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eastAsia="zh-CN"/>
              </w:rPr>
            </w:pPr>
            <w:r>
              <w:rPr>
                <w:rFonts w:hint="eastAsia" w:ascii="宋体" w:hAnsi="宋体" w:cs="宋体"/>
                <w:i w:val="0"/>
                <w:color w:val="000000"/>
                <w:sz w:val="16"/>
                <w:szCs w:val="16"/>
                <w:u w:val="none"/>
                <w:lang w:val="en-US" w:eastAsia="zh-CN"/>
              </w:rPr>
              <w:t>54300</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元</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cs="宋体"/>
                <w:i w:val="0"/>
                <w:color w:val="000000"/>
                <w:sz w:val="16"/>
                <w:szCs w:val="16"/>
                <w:u w:val="none"/>
                <w:lang w:val="en-US" w:eastAsia="zh-CN"/>
              </w:rPr>
              <w:t>54300</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时效指标</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工作完成及时率</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成本指标</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成本指标</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设备采购</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245100</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元</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245100</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质量指标</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设备质量</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数量指标</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设备数量</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15</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台</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16</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可持续影响指标</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设备采购标准</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95</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95</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生态效益指标</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设备环保要求</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98</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满意度指标</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服务对象满意度指标</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职工满意度</w:t>
            </w:r>
          </w:p>
        </w:tc>
        <w:tc>
          <w:tcPr>
            <w:tcW w:w="2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90</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95</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036"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合计</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c>
          <w:tcPr>
            <w:tcW w:w="11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部门（单位）自评结论</w:t>
            </w:r>
          </w:p>
        </w:tc>
        <w:tc>
          <w:tcPr>
            <w:tcW w:w="4509"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通过实施该项目，进一步优化办公设备，推进了国产化设备替换工作，保障了财政工作有序开展。自评得分100分。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部门（单位）自评存在问题</w:t>
            </w:r>
          </w:p>
        </w:tc>
        <w:tc>
          <w:tcPr>
            <w:tcW w:w="4509"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trPr>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部门（单位）自评改进措施</w:t>
            </w:r>
          </w:p>
        </w:tc>
        <w:tc>
          <w:tcPr>
            <w:tcW w:w="4509"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财政部门对口科室复评结论及整改要求</w:t>
            </w:r>
          </w:p>
        </w:tc>
        <w:tc>
          <w:tcPr>
            <w:tcW w:w="4509"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单位项目负责人：</w:t>
            </w:r>
          </w:p>
        </w:tc>
        <w:tc>
          <w:tcPr>
            <w:tcW w:w="2853"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单位财务负责人：衡云云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部门项目负责人：</w:t>
            </w:r>
          </w:p>
        </w:tc>
        <w:tc>
          <w:tcPr>
            <w:tcW w:w="2853"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部门财务负责人：衡云云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财政部门科室负责人：</w:t>
            </w:r>
          </w:p>
        </w:tc>
      </w:tr>
    </w:tbl>
    <w:p>
      <w:pPr>
        <w:spacing w:line="600" w:lineRule="exact"/>
        <w:jc w:val="center"/>
        <w:outlineLvl w:val="9"/>
        <w:rPr>
          <w:rStyle w:val="17"/>
          <w:rFonts w:hint="eastAsia" w:ascii="黑体" w:hAnsi="黑体" w:eastAsia="黑体"/>
          <w:b w:val="0"/>
          <w:color w:val="auto"/>
          <w:sz w:val="32"/>
          <w:szCs w:val="32"/>
          <w:highlight w:val="none"/>
        </w:rPr>
      </w:pPr>
    </w:p>
    <w:p>
      <w:pPr>
        <w:spacing w:line="600" w:lineRule="exact"/>
        <w:jc w:val="center"/>
        <w:outlineLvl w:val="0"/>
        <w:rPr>
          <w:rFonts w:hint="eastAsia"/>
        </w:rPr>
      </w:pPr>
      <w:bookmarkStart w:id="96" w:name="_Toc1119415633_WPSOffice_Level2"/>
      <w:bookmarkStart w:id="97" w:name="_Toc26039"/>
      <w:r>
        <w:rPr>
          <w:rStyle w:val="17"/>
          <w:rFonts w:hint="eastAsia" w:ascii="黑体" w:hAnsi="黑体" w:eastAsia="黑体"/>
          <w:b w:val="0"/>
          <w:color w:val="auto"/>
          <w:sz w:val="32"/>
          <w:szCs w:val="32"/>
          <w:highlight w:val="none"/>
        </w:rPr>
        <w:t>部门预算、专项资金预算项目支出绩效目标自评表（2022年度）</w:t>
      </w:r>
      <w:bookmarkEnd w:id="96"/>
      <w:bookmarkEnd w:id="97"/>
    </w:p>
    <w:tbl>
      <w:tblPr>
        <w:tblStyle w:val="13"/>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14"/>
        <w:gridCol w:w="1376"/>
        <w:gridCol w:w="1271"/>
        <w:gridCol w:w="1377"/>
        <w:gridCol w:w="564"/>
        <w:gridCol w:w="773"/>
        <w:gridCol w:w="612"/>
        <w:gridCol w:w="859"/>
        <w:gridCol w:w="604"/>
        <w:gridCol w:w="749"/>
        <w:gridCol w:w="910"/>
        <w:gridCol w:w="30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2" w:hRule="atLeast"/>
        </w:trPr>
        <w:tc>
          <w:tcPr>
            <w:tcW w:w="10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项目名称</w:t>
            </w:r>
          </w:p>
        </w:tc>
        <w:tc>
          <w:tcPr>
            <w:tcW w:w="399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财政专项工作经费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trPr>
        <w:tc>
          <w:tcPr>
            <w:tcW w:w="10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主管部门（盖章）</w:t>
            </w:r>
          </w:p>
        </w:tc>
        <w:tc>
          <w:tcPr>
            <w:tcW w:w="171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广元市财政局</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实施单位 （盖章）</w:t>
            </w:r>
          </w:p>
        </w:tc>
        <w:tc>
          <w:tcPr>
            <w:tcW w:w="196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广元市财政局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trPr>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项目基本情况</w:t>
            </w:r>
          </w:p>
        </w:tc>
        <w:tc>
          <w:tcPr>
            <w:tcW w:w="51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1.项目年度目标完成情况</w:t>
            </w:r>
          </w:p>
        </w:tc>
        <w:tc>
          <w:tcPr>
            <w:tcW w:w="171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项目年度目标</w:t>
            </w:r>
          </w:p>
        </w:tc>
        <w:tc>
          <w:tcPr>
            <w:tcW w:w="228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2"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5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171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全面贯彻新发展理念，加快构建新发展格局，全面深化改革开放，坚持创新驱动发展，推动高质量发展，坚持以供给侧结构性改革为主线，统筹疫情防控和经济社会发展，继续做好“六稳”、“六保”工作，持续改善民生，着力稳定宏观经济大盘，保持社会大局稳定。</w:t>
            </w:r>
          </w:p>
        </w:tc>
        <w:tc>
          <w:tcPr>
            <w:tcW w:w="228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坚决贯彻党的二十大精神，坚持以习近平新时代中国特色社会主义思想为指引，认真落实市委市政府重大决策部署，全力以赴拼经济搞建设，始终保持全市经济运行平稳，为加快建设川陕甘结合部现代化中心城市提供了坚强的财政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5"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2.项目实施内容及过程概述</w:t>
            </w:r>
          </w:p>
        </w:tc>
        <w:tc>
          <w:tcPr>
            <w:tcW w:w="399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通过项目实施，保障了预决算工作顺利完成，进一步规范了全市财政管理工作，确保了政府投资项目顺利实施。通过开展各类检查及调研，强力补齐短板，推动建设了保障有力、规范有序、改革创新、廉洁高效财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7" w:hRule="atLeast"/>
        </w:trPr>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预算执行情况（10分）</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年度预算数（万元）</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年初预算</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调整后预算数</w:t>
            </w:r>
          </w:p>
        </w:tc>
        <w:tc>
          <w:tcPr>
            <w:tcW w:w="72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预算执行数</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预算执行率</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权重%</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部门自评得分</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财政部门科室复评得分</w:t>
            </w:r>
          </w:p>
        </w:tc>
        <w:tc>
          <w:tcPr>
            <w:tcW w:w="1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总额</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273.07</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273.07</w:t>
            </w:r>
          </w:p>
        </w:tc>
        <w:tc>
          <w:tcPr>
            <w:tcW w:w="72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214.27</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cs="宋体"/>
                <w:i w:val="0"/>
                <w:color w:val="000000"/>
                <w:kern w:val="0"/>
                <w:sz w:val="16"/>
                <w:szCs w:val="16"/>
                <w:u w:val="none"/>
                <w:lang w:val="en-US" w:eastAsia="zh-CN" w:bidi="ar"/>
              </w:rPr>
              <w:t>78.47</w:t>
            </w:r>
            <w:r>
              <w:rPr>
                <w:rFonts w:hint="eastAsia" w:ascii="宋体" w:hAnsi="宋体" w:eastAsia="宋体" w:cs="宋体"/>
                <w:i w:val="0"/>
                <w:color w:val="000000"/>
                <w:kern w:val="0"/>
                <w:sz w:val="16"/>
                <w:szCs w:val="16"/>
                <w:u w:val="none"/>
                <w:lang w:val="en-US" w:eastAsia="zh-CN" w:bidi="ar"/>
              </w:rPr>
              <w:t>%</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lang w:val="en-US" w:eastAsia="zh-CN"/>
              </w:rPr>
            </w:pPr>
            <w:r>
              <w:rPr>
                <w:rFonts w:hint="eastAsia" w:ascii="宋体" w:hAnsi="宋体" w:cs="宋体"/>
                <w:i w:val="0"/>
                <w:color w:val="000000"/>
                <w:sz w:val="16"/>
                <w:szCs w:val="16"/>
                <w:u w:val="none"/>
                <w:lang w:val="en-US" w:eastAsia="zh-CN"/>
              </w:rPr>
              <w:t>8</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cs="宋体"/>
                <w:i w:val="0"/>
                <w:color w:val="000000"/>
                <w:sz w:val="16"/>
                <w:szCs w:val="16"/>
                <w:u w:val="none"/>
                <w:lang w:eastAsia="zh-CN"/>
              </w:rPr>
              <w:t>因该项目中部分经费需结转到下年支付，因此当年没有全部支付。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其中：财政资金</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223.37</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223.37</w:t>
            </w:r>
          </w:p>
        </w:tc>
        <w:tc>
          <w:tcPr>
            <w:tcW w:w="72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200.8</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财政专户管理资金</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2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单位资金</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2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其他资金</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eastAsia="宋体" w:cs="宋体"/>
                <w:i w:val="0"/>
                <w:color w:val="000000"/>
                <w:sz w:val="16"/>
                <w:szCs w:val="16"/>
                <w:u w:val="none"/>
                <w:lang w:val="en-US" w:eastAsia="zh-CN"/>
              </w:rPr>
            </w:pPr>
            <w:r>
              <w:rPr>
                <w:rFonts w:hint="eastAsia" w:ascii="宋体" w:hAnsi="宋体" w:cs="宋体"/>
                <w:i w:val="0"/>
                <w:color w:val="000000"/>
                <w:sz w:val="16"/>
                <w:szCs w:val="16"/>
                <w:u w:val="none"/>
                <w:lang w:val="en-US" w:eastAsia="zh-CN"/>
              </w:rPr>
              <w:t>49.7</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eastAsia="宋体" w:cs="宋体"/>
                <w:i w:val="0"/>
                <w:color w:val="000000"/>
                <w:sz w:val="16"/>
                <w:szCs w:val="16"/>
                <w:u w:val="none"/>
                <w:lang w:val="en-US" w:eastAsia="zh-CN"/>
              </w:rPr>
            </w:pPr>
            <w:r>
              <w:rPr>
                <w:rFonts w:hint="eastAsia" w:ascii="宋体" w:hAnsi="宋体" w:cs="宋体"/>
                <w:i w:val="0"/>
                <w:color w:val="000000"/>
                <w:sz w:val="16"/>
                <w:szCs w:val="16"/>
                <w:u w:val="none"/>
                <w:lang w:val="en-US" w:eastAsia="zh-CN"/>
              </w:rPr>
              <w:t>49.7</w:t>
            </w:r>
          </w:p>
        </w:tc>
        <w:tc>
          <w:tcPr>
            <w:tcW w:w="72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eastAsia="宋体" w:cs="宋体"/>
                <w:i w:val="0"/>
                <w:color w:val="000000"/>
                <w:sz w:val="16"/>
                <w:szCs w:val="16"/>
                <w:u w:val="none"/>
                <w:lang w:val="en-US" w:eastAsia="zh-CN"/>
              </w:rPr>
            </w:pPr>
            <w:r>
              <w:rPr>
                <w:rFonts w:hint="eastAsia" w:ascii="宋体" w:hAnsi="宋体" w:cs="宋体"/>
                <w:i w:val="0"/>
                <w:color w:val="000000"/>
                <w:sz w:val="16"/>
                <w:szCs w:val="16"/>
                <w:u w:val="none"/>
                <w:lang w:val="en-US" w:eastAsia="zh-CN"/>
              </w:rPr>
              <w:t>13.47</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绩效指标（90分）</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一级指标</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二级指标</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三级指标</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指标性质</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指标值</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度量单位</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完成值</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权重</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部门自评得分</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财政部门科室复评得分</w:t>
            </w:r>
          </w:p>
        </w:tc>
        <w:tc>
          <w:tcPr>
            <w:tcW w:w="1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数量指标</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专项工作</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7</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15</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质量指标</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工作开展及完成</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时效指标</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工作完成及时率</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95</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成本指标</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成本指标</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政府采购、监督检查、PPP项目经费、预决算执行、人事档案管理、电信网络服务、网站集约化等</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273.07</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万</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214.27</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可持续影响指标</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资金使用效益</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社会效益指标</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财政管理</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经济效益指标</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资金保障</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生态效益指标</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生态项目</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满意度指标</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服务对象满意度指标</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预算单位满意度</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90</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95%</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036"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合计</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98</w:t>
            </w:r>
          </w:p>
        </w:tc>
        <w:tc>
          <w:tcPr>
            <w:tcW w:w="3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c>
          <w:tcPr>
            <w:tcW w:w="1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部门（单位）自评结论</w:t>
            </w:r>
          </w:p>
        </w:tc>
        <w:tc>
          <w:tcPr>
            <w:tcW w:w="4509"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通过自评，该项目预算执行进度好，共完成专项工作 32项，全力保障了财政工作的开展，推动建设了保障有力、规范有序、改革创新、廉洁高效财政，确保圆满完成年度目标任务，自评得分</w:t>
            </w:r>
            <w:r>
              <w:rPr>
                <w:rFonts w:hint="eastAsia" w:ascii="宋体" w:hAnsi="宋体" w:cs="宋体"/>
                <w:i w:val="0"/>
                <w:color w:val="000000"/>
                <w:kern w:val="0"/>
                <w:sz w:val="16"/>
                <w:szCs w:val="16"/>
                <w:u w:val="none"/>
                <w:lang w:val="en-US" w:eastAsia="zh-CN" w:bidi="ar"/>
              </w:rPr>
              <w:t>98</w:t>
            </w:r>
            <w:r>
              <w:rPr>
                <w:rFonts w:hint="eastAsia" w:ascii="宋体" w:hAnsi="宋体" w:eastAsia="宋体" w:cs="宋体"/>
                <w:i w:val="0"/>
                <w:color w:val="000000"/>
                <w:kern w:val="0"/>
                <w:sz w:val="16"/>
                <w:szCs w:val="16"/>
                <w:u w:val="none"/>
                <w:lang w:val="en-US" w:eastAsia="zh-CN" w:bidi="ar"/>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部门（单位）自评存在问题</w:t>
            </w:r>
          </w:p>
        </w:tc>
        <w:tc>
          <w:tcPr>
            <w:tcW w:w="4509"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项目测算标准有待细化，测算准确率有待提高。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2" w:hRule="atLeast"/>
        </w:trPr>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部门（单位）自评改进措施</w:t>
            </w:r>
          </w:p>
        </w:tc>
        <w:tc>
          <w:tcPr>
            <w:tcW w:w="4509"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细化预算编制工作，提升预算编制准确度。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财政部门对口科室复评结论及整改要求</w:t>
            </w:r>
          </w:p>
        </w:tc>
        <w:tc>
          <w:tcPr>
            <w:tcW w:w="4509"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单位项目负责人：</w:t>
            </w:r>
          </w:p>
        </w:tc>
        <w:tc>
          <w:tcPr>
            <w:tcW w:w="279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单位财务负责人：衡云云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2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部门项目负责人：</w:t>
            </w:r>
          </w:p>
        </w:tc>
        <w:tc>
          <w:tcPr>
            <w:tcW w:w="279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部门财务负责人：衡云云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财政部门科室负责人：</w:t>
            </w:r>
          </w:p>
        </w:tc>
      </w:tr>
    </w:tbl>
    <w:p>
      <w:pPr>
        <w:spacing w:line="600" w:lineRule="exact"/>
        <w:jc w:val="center"/>
        <w:outlineLvl w:val="0"/>
        <w:rPr>
          <w:rFonts w:hint="eastAsia"/>
        </w:rPr>
      </w:pPr>
      <w:bookmarkStart w:id="98" w:name="_Toc1017469403_WPSOffice_Level2"/>
      <w:bookmarkStart w:id="99" w:name="_Toc11407"/>
      <w:r>
        <w:rPr>
          <w:rStyle w:val="17"/>
          <w:rFonts w:hint="eastAsia" w:ascii="黑体" w:hAnsi="黑体" w:eastAsia="黑体"/>
          <w:b w:val="0"/>
          <w:color w:val="auto"/>
          <w:sz w:val="32"/>
          <w:szCs w:val="32"/>
          <w:highlight w:val="none"/>
        </w:rPr>
        <w:t>部门预算、专项资金预算项目支出绩效目标自评表（2022年度）</w:t>
      </w:r>
      <w:bookmarkEnd w:id="98"/>
      <w:bookmarkEnd w:id="99"/>
    </w:p>
    <w:tbl>
      <w:tblPr>
        <w:tblStyle w:val="13"/>
        <w:tblW w:w="499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07"/>
        <w:gridCol w:w="1371"/>
        <w:gridCol w:w="1097"/>
        <w:gridCol w:w="1529"/>
        <w:gridCol w:w="588"/>
        <w:gridCol w:w="711"/>
        <w:gridCol w:w="668"/>
        <w:gridCol w:w="818"/>
        <w:gridCol w:w="649"/>
        <w:gridCol w:w="743"/>
        <w:gridCol w:w="904"/>
        <w:gridCol w:w="30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jc w:val="center"/>
        </w:trPr>
        <w:tc>
          <w:tcPr>
            <w:tcW w:w="9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项目名称</w:t>
            </w:r>
          </w:p>
        </w:tc>
        <w:tc>
          <w:tcPr>
            <w:tcW w:w="400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财政专项会议培训费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7" w:hRule="atLeast"/>
          <w:jc w:val="center"/>
        </w:trPr>
        <w:tc>
          <w:tcPr>
            <w:tcW w:w="9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主管部门（盖章）</w:t>
            </w:r>
          </w:p>
        </w:tc>
        <w:tc>
          <w:tcPr>
            <w:tcW w:w="171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广元市财政局</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实施单位（盖章）</w:t>
            </w:r>
          </w:p>
        </w:tc>
        <w:tc>
          <w:tcPr>
            <w:tcW w:w="198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广元市财政局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3" w:hRule="atLeast"/>
          <w:jc w:val="center"/>
        </w:trPr>
        <w:tc>
          <w:tcPr>
            <w:tcW w:w="4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项目基本情况</w:t>
            </w:r>
          </w:p>
        </w:tc>
        <w:tc>
          <w:tcPr>
            <w:tcW w:w="51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1.项目年度目标完成情况</w:t>
            </w:r>
          </w:p>
        </w:tc>
        <w:tc>
          <w:tcPr>
            <w:tcW w:w="171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项目年度目标</w:t>
            </w:r>
          </w:p>
        </w:tc>
        <w:tc>
          <w:tcPr>
            <w:tcW w:w="22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7" w:hRule="atLeast"/>
          <w:jc w:val="center"/>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5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171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顺利开展各类财政业务工作会议及培训，完成财政年度目标，保证各项工作稳步推进。</w:t>
            </w:r>
          </w:p>
        </w:tc>
        <w:tc>
          <w:tcPr>
            <w:tcW w:w="22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保障PPP培训会议和政府债务管理政策培训工作开展。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2" w:hRule="atLeast"/>
          <w:jc w:val="center"/>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2.项目实施内容及过程概述</w:t>
            </w:r>
          </w:p>
        </w:tc>
        <w:tc>
          <w:tcPr>
            <w:tcW w:w="4001"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项目严格按照会议费管理规定执行，项目所产生费用符合报销范围，同时严格按照局《经费支出管理办法》进行申报及报销。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7" w:hRule="atLeast"/>
          <w:jc w:val="center"/>
        </w:trPr>
        <w:tc>
          <w:tcPr>
            <w:tcW w:w="4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预算执行情况（10分）</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年度预算数（万元）</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年初预算</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调整后预算数</w:t>
            </w:r>
          </w:p>
        </w:tc>
        <w:tc>
          <w:tcPr>
            <w:tcW w:w="7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预算执行数</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权重%</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部门自评得分</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财政部门科室复评得分</w:t>
            </w: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jc w:val="center"/>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总额</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5.07</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5.07</w:t>
            </w:r>
          </w:p>
        </w:tc>
        <w:tc>
          <w:tcPr>
            <w:tcW w:w="7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5.07</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其中：财政资金</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5.07</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5.07</w:t>
            </w:r>
          </w:p>
        </w:tc>
        <w:tc>
          <w:tcPr>
            <w:tcW w:w="7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5.07</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财政专户管理资金</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单位资金</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其他资金</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3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3" w:hRule="atLeast"/>
          <w:jc w:val="center"/>
        </w:trPr>
        <w:tc>
          <w:tcPr>
            <w:tcW w:w="4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绩效指标（90分）</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一级指标</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二级指标</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三级指标</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指标性质</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指标值</w:t>
            </w: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度量单位</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完成值</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权重</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部门自评得分</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财政部门科室复评得分</w:t>
            </w: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成本指标</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成本指标</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会议及培训费用</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5.07</w:t>
            </w: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万元</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5.07</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jc w:val="center"/>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数量指标</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业务培训</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次</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jc w:val="center"/>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质量指标</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财政工作开展</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jc w:val="center"/>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数量指标</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会议数量</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次</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jc w:val="center"/>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时效指标</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会议及培训工作完成及时率</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经济效益指标</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财政收入增加</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社会效益指标</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财政管理</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满意度指标</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服务对象满意度指标</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预算单位满意度</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90</w:t>
            </w: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90</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3014"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合计</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jc w:val="center"/>
        </w:trPr>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部门（单位）自评结论</w:t>
            </w:r>
          </w:p>
        </w:tc>
        <w:tc>
          <w:tcPr>
            <w:tcW w:w="4512"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通过自评，该项目保障了财政专项会议和培训开展工作，推动建设了保障有力、规范有序、改革创新、廉洁高效财政，确保圆满完成年度目标任务，自评得分100分。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部门（单位）自评存在问题</w:t>
            </w:r>
          </w:p>
        </w:tc>
        <w:tc>
          <w:tcPr>
            <w:tcW w:w="4512"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项目测算标准有待细化，测算准确率有待提高。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5" w:hRule="atLeast"/>
          <w:jc w:val="center"/>
        </w:trPr>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部门（单位）自评改进措施</w:t>
            </w:r>
          </w:p>
        </w:tc>
        <w:tc>
          <w:tcPr>
            <w:tcW w:w="4512"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细化预算编制工作，提升预算编制准确度。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7" w:hRule="atLeast"/>
          <w:jc w:val="center"/>
        </w:trPr>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财政部门对口科室复评结论及整改要求</w:t>
            </w:r>
          </w:p>
        </w:tc>
        <w:tc>
          <w:tcPr>
            <w:tcW w:w="4512"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219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单位项目负责人：</w:t>
            </w:r>
          </w:p>
        </w:tc>
        <w:tc>
          <w:tcPr>
            <w:tcW w:w="2803"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单位财务负责人：衡云云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219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部门项目负责人：</w:t>
            </w:r>
          </w:p>
        </w:tc>
        <w:tc>
          <w:tcPr>
            <w:tcW w:w="2803"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部门财务负责人：衡云云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财政部门科室负责人：</w:t>
            </w:r>
          </w:p>
        </w:tc>
      </w:tr>
    </w:tbl>
    <w:p>
      <w:pPr>
        <w:spacing w:line="600" w:lineRule="exact"/>
        <w:jc w:val="center"/>
        <w:outlineLvl w:val="9"/>
        <w:rPr>
          <w:rFonts w:hint="eastAsia" w:ascii="黑体" w:hAnsi="黑体" w:eastAsia="黑体"/>
          <w:color w:val="auto"/>
          <w:sz w:val="44"/>
          <w:szCs w:val="44"/>
          <w:highlight w:val="none"/>
        </w:rPr>
      </w:pPr>
    </w:p>
    <w:p>
      <w:pPr>
        <w:spacing w:line="600" w:lineRule="exact"/>
        <w:jc w:val="both"/>
        <w:outlineLvl w:val="9"/>
        <w:rPr>
          <w:rFonts w:hint="eastAsia" w:ascii="黑体" w:hAnsi="黑体" w:eastAsia="黑体"/>
          <w:color w:val="auto"/>
          <w:sz w:val="44"/>
          <w:szCs w:val="44"/>
          <w:highlight w:val="none"/>
        </w:rPr>
      </w:pPr>
    </w:p>
    <w:p>
      <w:pPr>
        <w:spacing w:line="600" w:lineRule="exact"/>
        <w:jc w:val="center"/>
        <w:outlineLvl w:val="9"/>
        <w:rPr>
          <w:rStyle w:val="17"/>
          <w:rFonts w:hint="eastAsia" w:ascii="黑体" w:hAnsi="黑体" w:eastAsia="黑体"/>
          <w:b w:val="0"/>
          <w:color w:val="auto"/>
          <w:sz w:val="32"/>
          <w:szCs w:val="32"/>
          <w:highlight w:val="none"/>
        </w:rPr>
      </w:pPr>
      <w:bookmarkStart w:id="100" w:name="_Toc918782240_WPSOffice_Level2"/>
    </w:p>
    <w:p>
      <w:pPr>
        <w:spacing w:line="600" w:lineRule="exact"/>
        <w:jc w:val="center"/>
        <w:outlineLvl w:val="9"/>
        <w:rPr>
          <w:rStyle w:val="17"/>
          <w:rFonts w:hint="eastAsia" w:ascii="黑体" w:hAnsi="黑体" w:eastAsia="黑体"/>
          <w:b w:val="0"/>
          <w:color w:val="auto"/>
          <w:sz w:val="32"/>
          <w:szCs w:val="32"/>
          <w:highlight w:val="none"/>
        </w:rPr>
      </w:pPr>
    </w:p>
    <w:p>
      <w:pPr>
        <w:spacing w:line="600" w:lineRule="exact"/>
        <w:jc w:val="center"/>
        <w:outlineLvl w:val="0"/>
        <w:rPr>
          <w:rFonts w:hint="eastAsia"/>
        </w:rPr>
      </w:pPr>
      <w:bookmarkStart w:id="101" w:name="_Toc32480"/>
      <w:r>
        <w:rPr>
          <w:rStyle w:val="17"/>
          <w:rFonts w:hint="eastAsia" w:ascii="黑体" w:hAnsi="黑体" w:eastAsia="黑体"/>
          <w:b w:val="0"/>
          <w:color w:val="auto"/>
          <w:sz w:val="32"/>
          <w:szCs w:val="32"/>
          <w:highlight w:val="none"/>
        </w:rPr>
        <w:t>部门预算、专项资金预算项目支出绩效目标自评表（2022年度）</w:t>
      </w:r>
      <w:bookmarkEnd w:id="100"/>
      <w:bookmarkEnd w:id="101"/>
    </w:p>
    <w:tbl>
      <w:tblPr>
        <w:tblStyle w:val="13"/>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04"/>
        <w:gridCol w:w="1234"/>
        <w:gridCol w:w="1129"/>
        <w:gridCol w:w="1433"/>
        <w:gridCol w:w="593"/>
        <w:gridCol w:w="888"/>
        <w:gridCol w:w="598"/>
        <w:gridCol w:w="958"/>
        <w:gridCol w:w="601"/>
        <w:gridCol w:w="743"/>
        <w:gridCol w:w="904"/>
        <w:gridCol w:w="30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项目名称</w:t>
            </w:r>
          </w:p>
        </w:tc>
        <w:tc>
          <w:tcPr>
            <w:tcW w:w="40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派驻纪检组专项工作经费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9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主管部门（盖章）</w:t>
            </w:r>
          </w:p>
        </w:tc>
        <w:tc>
          <w:tcPr>
            <w:tcW w:w="17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广元市财政局</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实施单位 （盖章）</w:t>
            </w:r>
          </w:p>
        </w:tc>
        <w:tc>
          <w:tcPr>
            <w:tcW w:w="196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广元市财政局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48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项目基本情况</w:t>
            </w:r>
          </w:p>
        </w:tc>
        <w:tc>
          <w:tcPr>
            <w:tcW w:w="4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1.项目年度目标完成情况</w:t>
            </w:r>
          </w:p>
        </w:tc>
        <w:tc>
          <w:tcPr>
            <w:tcW w:w="17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项目年度目标</w:t>
            </w:r>
          </w:p>
        </w:tc>
        <w:tc>
          <w:tcPr>
            <w:tcW w:w="23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7" w:hRule="atLeast"/>
        </w:trPr>
        <w:tc>
          <w:tcPr>
            <w:tcW w:w="4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4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173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落实“把执纪和执法贯通起来，实现党内监督和国家监察的有机统一”的要求，一体推进监督执纪和监察执法。坚持执纪必严，用铁的纪律强化日常管理和监督，严肃处理违反党章党规的行为，严格依规依纪依法行使权力、履行职责。</w:t>
            </w:r>
          </w:p>
        </w:tc>
        <w:tc>
          <w:tcPr>
            <w:tcW w:w="23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落实“把执纪和执法贯通起来，实现党内监督和国家监察的有机统一”的要求，一体推进监督执纪和监察执法。坚持执纪必严，用铁的纪律强化日常管理和监督，严肃处理违反党章党规的行为，严格依规依纪依法行使权力、履行职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5" w:hRule="atLeast"/>
        </w:trPr>
        <w:tc>
          <w:tcPr>
            <w:tcW w:w="4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2.项目实施内容及过程概述</w:t>
            </w:r>
          </w:p>
        </w:tc>
        <w:tc>
          <w:tcPr>
            <w:tcW w:w="40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该项目保障了派驻纪检组专项工作开展，主要包括监督检查、办理案件和其他纪检费用支出，项目实施前严格按规定申报审批，完成后及时报销。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3" w:hRule="atLeast"/>
        </w:trPr>
        <w:tc>
          <w:tcPr>
            <w:tcW w:w="48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预算执行情况（10分）</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年度预算数（万元）</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年初预算</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调整后预算数</w:t>
            </w:r>
          </w:p>
        </w:tc>
        <w:tc>
          <w:tcPr>
            <w:tcW w:w="7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预算执行数</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预算执行率</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权重%</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部门自评得分</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财政部门科室复评得分</w:t>
            </w: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8" w:hRule="atLeast"/>
        </w:trPr>
        <w:tc>
          <w:tcPr>
            <w:tcW w:w="4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总额</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17.59</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eastAsia="宋体" w:cs="宋体"/>
                <w:i w:val="0"/>
                <w:color w:val="000000"/>
                <w:sz w:val="16"/>
                <w:szCs w:val="16"/>
                <w:u w:val="none"/>
                <w:lang w:val="en-US" w:eastAsia="zh-CN"/>
              </w:rPr>
            </w:pPr>
            <w:r>
              <w:rPr>
                <w:rFonts w:hint="eastAsia" w:ascii="宋体" w:hAnsi="宋体" w:cs="宋体"/>
                <w:i w:val="0"/>
                <w:color w:val="000000"/>
                <w:sz w:val="16"/>
                <w:szCs w:val="16"/>
                <w:u w:val="none"/>
                <w:lang w:val="en-US" w:eastAsia="zh-CN"/>
              </w:rPr>
              <w:t>17.59</w:t>
            </w:r>
          </w:p>
        </w:tc>
        <w:tc>
          <w:tcPr>
            <w:tcW w:w="7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15.7</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cs="宋体"/>
                <w:i w:val="0"/>
                <w:color w:val="000000"/>
                <w:kern w:val="0"/>
                <w:sz w:val="16"/>
                <w:szCs w:val="16"/>
                <w:u w:val="none"/>
                <w:lang w:val="en-US" w:eastAsia="zh-CN" w:bidi="ar"/>
              </w:rPr>
              <w:t>89.26</w:t>
            </w:r>
            <w:r>
              <w:rPr>
                <w:rFonts w:hint="eastAsia" w:ascii="宋体" w:hAnsi="宋体" w:eastAsia="宋体" w:cs="宋体"/>
                <w:i w:val="0"/>
                <w:color w:val="000000"/>
                <w:kern w:val="0"/>
                <w:sz w:val="16"/>
                <w:szCs w:val="16"/>
                <w:u w:val="none"/>
                <w:lang w:val="en-US" w:eastAsia="zh-CN" w:bidi="ar"/>
              </w:rPr>
              <w:t>%</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cs="宋体"/>
                <w:i w:val="0"/>
                <w:color w:val="000000"/>
                <w:sz w:val="16"/>
                <w:szCs w:val="16"/>
                <w:highlight w:val="none"/>
                <w:u w:val="none"/>
                <w:lang w:eastAsia="zh-CN"/>
              </w:rPr>
              <w:t>因该项目部分经费需结转到下年支付，因此当年未全部支付。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4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其中：财政资金</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17.59</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eastAsia="宋体" w:cs="宋体"/>
                <w:i w:val="0"/>
                <w:color w:val="000000"/>
                <w:sz w:val="16"/>
                <w:szCs w:val="16"/>
                <w:u w:val="none"/>
                <w:lang w:val="en-US" w:eastAsia="zh-CN"/>
              </w:rPr>
            </w:pPr>
            <w:r>
              <w:rPr>
                <w:rFonts w:hint="eastAsia" w:ascii="宋体" w:hAnsi="宋体" w:cs="宋体"/>
                <w:i w:val="0"/>
                <w:color w:val="000000"/>
                <w:sz w:val="16"/>
                <w:szCs w:val="16"/>
                <w:u w:val="none"/>
                <w:lang w:val="en-US" w:eastAsia="zh-CN"/>
              </w:rPr>
              <w:t>17.59</w:t>
            </w:r>
          </w:p>
        </w:tc>
        <w:tc>
          <w:tcPr>
            <w:tcW w:w="7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15.7</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cs="宋体"/>
                <w:i w:val="0"/>
                <w:color w:val="000000"/>
                <w:kern w:val="0"/>
                <w:sz w:val="16"/>
                <w:szCs w:val="16"/>
                <w:u w:val="none"/>
                <w:lang w:val="en-US" w:eastAsia="zh-CN" w:bidi="ar"/>
              </w:rPr>
              <w:t>89.26</w:t>
            </w:r>
            <w:r>
              <w:rPr>
                <w:rFonts w:hint="eastAsia" w:ascii="宋体" w:hAnsi="宋体" w:eastAsia="宋体" w:cs="宋体"/>
                <w:i w:val="0"/>
                <w:color w:val="000000"/>
                <w:kern w:val="0"/>
                <w:sz w:val="16"/>
                <w:szCs w:val="16"/>
                <w:u w:val="none"/>
                <w:lang w:val="en-US" w:eastAsia="zh-CN" w:bidi="ar"/>
              </w:rPr>
              <w:t>%</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trPr>
        <w:tc>
          <w:tcPr>
            <w:tcW w:w="4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财政专户管理资金</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单位资金</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4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其他资金</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7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48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绩效指标（90分）</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一级指标</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二级指标</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三级指标</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指标性质</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指标值</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度量单位</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完成值</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权重</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部门自评得分</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财政部门科室复评得分</w:t>
            </w: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质量指标</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工作效果</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8" w:hRule="atLeast"/>
        </w:trPr>
        <w:tc>
          <w:tcPr>
            <w:tcW w:w="4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时效指标</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案件办理时间</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6" w:hRule="atLeast"/>
        </w:trPr>
        <w:tc>
          <w:tcPr>
            <w:tcW w:w="4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成本指标</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成本指标</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工作经费</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17.59</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万元</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15.7</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4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数量指标</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监督检查</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次</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23</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4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社会效益指标</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经济发展环境</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4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可持续发展指标</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纪检监察效果</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4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经济效益指标</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经济发展</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4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满意度指标</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服务对象满意度指标</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被监督单位满意度</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90</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90</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03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合计</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98</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部门（单位）自评结论</w:t>
            </w:r>
          </w:p>
        </w:tc>
        <w:tc>
          <w:tcPr>
            <w:tcW w:w="4513"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通过实施该项目，加大了监督执纪问责力度，不断推动5个综合监督单位党风廉政建设和反腐败工作取得新成效，政治生态持续向上向好，营造了风清气正的干事创业环境，为广元经济社会发展提供了有力保障。该项目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部门（单位）自评存在问题</w:t>
            </w:r>
          </w:p>
        </w:tc>
        <w:tc>
          <w:tcPr>
            <w:tcW w:w="4513"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项目绩效目标测算标准有待细化，测算准确率有待提高。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部门（单位）自评改进措施</w:t>
            </w:r>
          </w:p>
        </w:tc>
        <w:tc>
          <w:tcPr>
            <w:tcW w:w="4513"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强化预算编制管理，提高资金支出时效。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财政部门对口科室复评结论及整改要求</w:t>
            </w:r>
          </w:p>
        </w:tc>
        <w:tc>
          <w:tcPr>
            <w:tcW w:w="4513"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2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单位项目负责人：</w:t>
            </w:r>
          </w:p>
        </w:tc>
        <w:tc>
          <w:tcPr>
            <w:tcW w:w="2877"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单位财务负责人：衡云云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2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部门项目负责人：</w:t>
            </w:r>
          </w:p>
        </w:tc>
        <w:tc>
          <w:tcPr>
            <w:tcW w:w="2877"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部门财务负责人：衡云云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财政部门科室负责人：</w:t>
            </w:r>
          </w:p>
        </w:tc>
      </w:tr>
    </w:tbl>
    <w:p>
      <w:pPr>
        <w:spacing w:line="600" w:lineRule="exact"/>
        <w:jc w:val="center"/>
        <w:outlineLvl w:val="9"/>
        <w:rPr>
          <w:rStyle w:val="17"/>
          <w:rFonts w:hint="eastAsia" w:ascii="黑体" w:hAnsi="黑体" w:eastAsia="黑体"/>
          <w:b w:val="0"/>
          <w:color w:val="auto"/>
          <w:sz w:val="32"/>
          <w:szCs w:val="32"/>
          <w:highlight w:val="none"/>
        </w:rPr>
      </w:pPr>
    </w:p>
    <w:p>
      <w:pPr>
        <w:spacing w:line="600" w:lineRule="exact"/>
        <w:jc w:val="center"/>
        <w:outlineLvl w:val="0"/>
        <w:rPr>
          <w:rFonts w:hint="eastAsia"/>
        </w:rPr>
      </w:pPr>
      <w:bookmarkStart w:id="102" w:name="_Toc788"/>
      <w:bookmarkStart w:id="103" w:name="_Toc65030160_WPSOffice_Level2"/>
      <w:r>
        <w:rPr>
          <w:rStyle w:val="17"/>
          <w:rFonts w:hint="eastAsia" w:ascii="黑体" w:hAnsi="黑体" w:eastAsia="黑体"/>
          <w:b w:val="0"/>
          <w:color w:val="auto"/>
          <w:sz w:val="32"/>
          <w:szCs w:val="32"/>
          <w:highlight w:val="none"/>
        </w:rPr>
        <w:t>部门预算、专项资金预算项目支出绩效目标自评表（2022年度）</w:t>
      </w:r>
      <w:bookmarkEnd w:id="102"/>
      <w:bookmarkEnd w:id="103"/>
    </w:p>
    <w:tbl>
      <w:tblPr>
        <w:tblStyle w:val="13"/>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12"/>
        <w:gridCol w:w="1371"/>
        <w:gridCol w:w="1100"/>
        <w:gridCol w:w="1304"/>
        <w:gridCol w:w="604"/>
        <w:gridCol w:w="775"/>
        <w:gridCol w:w="689"/>
        <w:gridCol w:w="985"/>
        <w:gridCol w:w="601"/>
        <w:gridCol w:w="743"/>
        <w:gridCol w:w="904"/>
        <w:gridCol w:w="30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5" w:hRule="atLeast"/>
        </w:trPr>
        <w:tc>
          <w:tcPr>
            <w:tcW w:w="1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项目名称</w:t>
            </w:r>
          </w:p>
        </w:tc>
        <w:tc>
          <w:tcPr>
            <w:tcW w:w="399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省级财政业务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8" w:hRule="atLeast"/>
        </w:trPr>
        <w:tc>
          <w:tcPr>
            <w:tcW w:w="1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主管部门（盖章）</w:t>
            </w:r>
          </w:p>
        </w:tc>
        <w:tc>
          <w:tcPr>
            <w:tcW w:w="166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广元市财政局</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实施单位 （盖章）</w:t>
            </w:r>
          </w:p>
        </w:tc>
        <w:tc>
          <w:tcPr>
            <w:tcW w:w="196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广元市财政局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5" w:hRule="atLeast"/>
        </w:trPr>
        <w:tc>
          <w:tcPr>
            <w:tcW w:w="4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项目基本情况</w:t>
            </w:r>
          </w:p>
        </w:tc>
        <w:tc>
          <w:tcPr>
            <w:tcW w:w="51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1.项目年度目标完成情况</w:t>
            </w:r>
          </w:p>
        </w:tc>
        <w:tc>
          <w:tcPr>
            <w:tcW w:w="166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项目年度目标</w:t>
            </w:r>
          </w:p>
        </w:tc>
        <w:tc>
          <w:tcPr>
            <w:tcW w:w="233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5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166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保障省级财政业务系统顺利运转，确保财政工作正常开展。</w:t>
            </w:r>
          </w:p>
        </w:tc>
        <w:tc>
          <w:tcPr>
            <w:tcW w:w="233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保障了资产管理信息系统、债务管理系统和电子票据系统运行维护费等3个省级财政业务系统正常运行，确保了财政工作正常开展。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2.项目实施内容及过程概述</w:t>
            </w:r>
          </w:p>
        </w:tc>
        <w:tc>
          <w:tcPr>
            <w:tcW w:w="399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该项目严格按照“三重一大”管理规定在经党组审定同意后实施，严格按照合同约定付款。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4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预算执行情况（10分）</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年度预算数（万元）</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年初预算</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调整后预算数</w:t>
            </w:r>
          </w:p>
        </w:tc>
        <w:tc>
          <w:tcPr>
            <w:tcW w:w="77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预算执行数</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预算执行率</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权重%</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部门自评得分</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财政部门科室复评得分</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总额</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25.85</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7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25.85</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cs="宋体"/>
                <w:i w:val="0"/>
                <w:color w:val="000000"/>
                <w:kern w:val="0"/>
                <w:sz w:val="16"/>
                <w:szCs w:val="16"/>
                <w:u w:val="none"/>
                <w:lang w:val="en-US" w:eastAsia="zh-CN" w:bidi="ar"/>
              </w:rPr>
              <w:t>100</w:t>
            </w:r>
            <w:r>
              <w:rPr>
                <w:rFonts w:hint="eastAsia" w:ascii="宋体" w:hAnsi="宋体" w:eastAsia="宋体" w:cs="宋体"/>
                <w:i w:val="0"/>
                <w:color w:val="000000"/>
                <w:kern w:val="0"/>
                <w:sz w:val="16"/>
                <w:szCs w:val="16"/>
                <w:u w:val="none"/>
                <w:lang w:val="en-US" w:eastAsia="zh-CN" w:bidi="ar"/>
              </w:rPr>
              <w:t>%</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其中：财政资金</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25.85</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7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25.85</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cs="宋体"/>
                <w:i w:val="0"/>
                <w:color w:val="000000"/>
                <w:kern w:val="0"/>
                <w:sz w:val="16"/>
                <w:szCs w:val="16"/>
                <w:u w:val="none"/>
                <w:lang w:val="en-US" w:eastAsia="zh-CN" w:bidi="ar"/>
              </w:rPr>
              <w:t>100</w:t>
            </w:r>
            <w:r>
              <w:rPr>
                <w:rFonts w:hint="eastAsia" w:ascii="宋体" w:hAnsi="宋体" w:eastAsia="宋体" w:cs="宋体"/>
                <w:i w:val="0"/>
                <w:color w:val="000000"/>
                <w:kern w:val="0"/>
                <w:sz w:val="16"/>
                <w:szCs w:val="16"/>
                <w:u w:val="none"/>
                <w:lang w:val="en-US" w:eastAsia="zh-CN" w:bidi="ar"/>
              </w:rPr>
              <w:t>%</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财政专户管理资金</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7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单位资金</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7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其他资金</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7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4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绩效指标（90分）</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一级指标</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二级指标</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三级指标</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指标性质</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指标值</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度量单位</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完成值</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权重</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部门自评得分</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财政部门科室复评得分</w:t>
            </w: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成本指标</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成本指标</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系统服务费用</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25.85</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万元</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25.85</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质量指标</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系统运行</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时效指标</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服务时效</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数量指标</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省级管理系统</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个</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社会效益指标</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财政工作</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满意度指标</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服务对象满意度指标</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系统运行满意度</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90</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95</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34"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合计</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c>
          <w:tcPr>
            <w:tcW w:w="11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部门（单位）自评结论</w:t>
            </w:r>
          </w:p>
        </w:tc>
        <w:tc>
          <w:tcPr>
            <w:tcW w:w="451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保障了资产管理信息系统、债务管理系统和电子票据系统运行维护费等3个省级财政业务系统正常运行，确保了财政工作正常开展，自评得分100分。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部门（单位）自评存在问题</w:t>
            </w:r>
          </w:p>
        </w:tc>
        <w:tc>
          <w:tcPr>
            <w:tcW w:w="451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项目测算标准有待细化，测算准确率有待提高。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部门（单位）自评改进措施</w:t>
            </w:r>
          </w:p>
        </w:tc>
        <w:tc>
          <w:tcPr>
            <w:tcW w:w="451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细化预算编制工作，提升预算编制准确度。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财政部门对口科室复评结论及整改要求</w:t>
            </w:r>
          </w:p>
        </w:tc>
        <w:tc>
          <w:tcPr>
            <w:tcW w:w="451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2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单位项目负责人：</w:t>
            </w:r>
          </w:p>
        </w:tc>
        <w:tc>
          <w:tcPr>
            <w:tcW w:w="2878"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单位财务负责人：衡云云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2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部门项目负责人：</w:t>
            </w:r>
          </w:p>
        </w:tc>
        <w:tc>
          <w:tcPr>
            <w:tcW w:w="2878"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部门财务负责人：衡云云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财政部门科室负责人：</w:t>
            </w:r>
          </w:p>
        </w:tc>
      </w:tr>
    </w:tbl>
    <w:p>
      <w:pPr>
        <w:spacing w:line="600" w:lineRule="exact"/>
        <w:jc w:val="both"/>
        <w:outlineLvl w:val="9"/>
        <w:rPr>
          <w:rFonts w:hint="eastAsia" w:ascii="黑体" w:hAnsi="黑体" w:eastAsia="黑体"/>
          <w:color w:val="auto"/>
          <w:sz w:val="44"/>
          <w:szCs w:val="44"/>
          <w:highlight w:val="none"/>
        </w:rPr>
      </w:pPr>
    </w:p>
    <w:p>
      <w:pPr>
        <w:spacing w:line="600" w:lineRule="exact"/>
        <w:jc w:val="both"/>
        <w:outlineLvl w:val="9"/>
        <w:rPr>
          <w:rFonts w:hint="eastAsia" w:ascii="黑体" w:hAnsi="黑体" w:eastAsia="黑体"/>
          <w:color w:val="auto"/>
          <w:sz w:val="44"/>
          <w:szCs w:val="44"/>
          <w:highlight w:val="none"/>
        </w:rPr>
      </w:pPr>
    </w:p>
    <w:p>
      <w:pPr>
        <w:spacing w:line="600" w:lineRule="exact"/>
        <w:jc w:val="center"/>
        <w:outlineLvl w:val="0"/>
        <w:rPr>
          <w:rFonts w:hint="eastAsia"/>
        </w:rPr>
      </w:pPr>
      <w:bookmarkStart w:id="104" w:name="_Toc30194"/>
      <w:bookmarkStart w:id="105" w:name="_Toc1037395129_WPSOffice_Level2"/>
      <w:r>
        <w:rPr>
          <w:rStyle w:val="17"/>
          <w:rFonts w:hint="eastAsia" w:ascii="黑体" w:hAnsi="黑体" w:eastAsia="黑体"/>
          <w:b w:val="0"/>
          <w:color w:val="auto"/>
          <w:sz w:val="32"/>
          <w:szCs w:val="32"/>
          <w:highlight w:val="none"/>
        </w:rPr>
        <w:t>部门预算、专项资金预算项目支出绩效目标自评表（2022年度）</w:t>
      </w:r>
      <w:bookmarkEnd w:id="104"/>
      <w:bookmarkEnd w:id="105"/>
    </w:p>
    <w:tbl>
      <w:tblPr>
        <w:tblStyle w:val="13"/>
        <w:tblW w:w="499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06"/>
        <w:gridCol w:w="1374"/>
        <w:gridCol w:w="1097"/>
        <w:gridCol w:w="1315"/>
        <w:gridCol w:w="644"/>
        <w:gridCol w:w="942"/>
        <w:gridCol w:w="590"/>
        <w:gridCol w:w="872"/>
        <w:gridCol w:w="601"/>
        <w:gridCol w:w="743"/>
        <w:gridCol w:w="904"/>
        <w:gridCol w:w="30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9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项目名称</w:t>
            </w:r>
          </w:p>
        </w:tc>
        <w:tc>
          <w:tcPr>
            <w:tcW w:w="4000"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市级预算单位会计核算平台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3" w:hRule="atLeast"/>
          <w:jc w:val="center"/>
        </w:trPr>
        <w:tc>
          <w:tcPr>
            <w:tcW w:w="9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主管部门（盖章）</w:t>
            </w:r>
          </w:p>
        </w:tc>
        <w:tc>
          <w:tcPr>
            <w:tcW w:w="17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广元市财政局</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实施单位 （盖章）</w:t>
            </w:r>
          </w:p>
        </w:tc>
        <w:tc>
          <w:tcPr>
            <w:tcW w:w="196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广元市财政局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4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项目基本情况</w:t>
            </w:r>
          </w:p>
        </w:tc>
        <w:tc>
          <w:tcPr>
            <w:tcW w:w="5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1.项目年度目标完成情况</w:t>
            </w:r>
          </w:p>
        </w:tc>
        <w:tc>
          <w:tcPr>
            <w:tcW w:w="17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项目年度目标</w:t>
            </w:r>
          </w:p>
        </w:tc>
        <w:tc>
          <w:tcPr>
            <w:tcW w:w="229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5" w:hRule="atLeast"/>
          <w:jc w:val="center"/>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17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完成市级236个预算单位软件日常运行维护，确保政府会计制度改革相关软件配套运行安全畅通。</w:t>
            </w:r>
          </w:p>
        </w:tc>
        <w:tc>
          <w:tcPr>
            <w:tcW w:w="229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完成市本级236个预算单位软件日常运行维护，保证政府会计制度改革相关软件配套运行安全畅通。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5" w:hRule="atLeast"/>
          <w:jc w:val="center"/>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2.项目实施内容及过程概述</w:t>
            </w:r>
          </w:p>
        </w:tc>
        <w:tc>
          <w:tcPr>
            <w:tcW w:w="4000"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处理市本级236个预算单位日常会计核算平台软件操作和账务处理业务相关问题，协助财政局和审计局进行单位会计账务审计取数工作。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5" w:hRule="atLeast"/>
          <w:jc w:val="center"/>
        </w:trPr>
        <w:tc>
          <w:tcPr>
            <w:tcW w:w="4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预算执行情况（10分）</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年度预算数（万元）</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年初预算</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调整后预算数</w:t>
            </w:r>
          </w:p>
        </w:tc>
        <w:tc>
          <w:tcPr>
            <w:tcW w:w="81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预算执行数</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预算执行率</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权重%</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部门自评得分</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财政部门科室复评得分</w:t>
            </w: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总额</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22.4</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81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22.4</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其中：财政资金</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22.4</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81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22.4</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财政专户管理资金</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81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单位资金</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81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其他资金</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81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4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绩效指标（90分）</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一级指标</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二级指标</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三级指标</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指标性质</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指标值</w:t>
            </w:r>
          </w:p>
        </w:tc>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度量单位</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完成值</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权重</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部门自评得分</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财政部门科室复评得分</w:t>
            </w: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时效指标</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运行维护时限</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2022</w:t>
            </w:r>
          </w:p>
        </w:tc>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年</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2022</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数量指标</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会计核算单位数量</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236</w:t>
            </w:r>
          </w:p>
        </w:tc>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个</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236</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成本指标</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成本指标</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运行维护费</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22.4</w:t>
            </w:r>
          </w:p>
        </w:tc>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万元</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22.4</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质量指标</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平台运行</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社会效益指标</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财政工作</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可持续发展指标</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使用年限</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年</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4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满意度指标</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服务对象满意度指标</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单位满意度</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90</w:t>
            </w:r>
          </w:p>
        </w:tc>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95</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303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合计</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jc w:val="center"/>
        </w:trPr>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部门（单位）自评结论</w:t>
            </w:r>
          </w:p>
        </w:tc>
        <w:tc>
          <w:tcPr>
            <w:tcW w:w="4512"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完成合同文件中的要求的实施工作及服务内容，该项目自评得分100分。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jc w:val="center"/>
        </w:trPr>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部门（单位）自评存在问题</w:t>
            </w:r>
          </w:p>
        </w:tc>
        <w:tc>
          <w:tcPr>
            <w:tcW w:w="4512"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jc w:val="center"/>
        </w:trPr>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部门（单位）自评改进措施</w:t>
            </w:r>
          </w:p>
        </w:tc>
        <w:tc>
          <w:tcPr>
            <w:tcW w:w="4512"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jc w:val="center"/>
        </w:trPr>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财政部门对口科室复评结论及整改要求</w:t>
            </w:r>
          </w:p>
        </w:tc>
        <w:tc>
          <w:tcPr>
            <w:tcW w:w="4512"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213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单位项目负责人：</w:t>
            </w:r>
          </w:p>
        </w:tc>
        <w:tc>
          <w:tcPr>
            <w:tcW w:w="286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单位财务负责人：衡云云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213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部门项目负责人：</w:t>
            </w:r>
          </w:p>
        </w:tc>
        <w:tc>
          <w:tcPr>
            <w:tcW w:w="286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部门财务负责人：衡云云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财政部门科室负责人：</w:t>
            </w:r>
          </w:p>
        </w:tc>
      </w:tr>
    </w:tbl>
    <w:p>
      <w:pPr>
        <w:spacing w:line="600" w:lineRule="exact"/>
        <w:jc w:val="both"/>
        <w:outlineLvl w:val="9"/>
        <w:rPr>
          <w:rFonts w:hint="eastAsia" w:ascii="黑体" w:hAnsi="黑体" w:eastAsia="黑体"/>
          <w:color w:val="auto"/>
          <w:sz w:val="44"/>
          <w:szCs w:val="44"/>
          <w:highlight w:val="none"/>
        </w:rPr>
      </w:pPr>
    </w:p>
    <w:p>
      <w:pPr>
        <w:spacing w:line="600" w:lineRule="exact"/>
        <w:jc w:val="center"/>
        <w:outlineLvl w:val="0"/>
        <w:rPr>
          <w:rFonts w:hint="eastAsia"/>
        </w:rPr>
      </w:pPr>
      <w:bookmarkStart w:id="106" w:name="_Toc3097"/>
      <w:bookmarkStart w:id="107" w:name="_Toc152003259_WPSOffice_Level2"/>
      <w:r>
        <w:rPr>
          <w:rStyle w:val="17"/>
          <w:rFonts w:hint="eastAsia" w:ascii="黑体" w:hAnsi="黑体" w:eastAsia="黑体"/>
          <w:b w:val="0"/>
          <w:color w:val="auto"/>
          <w:sz w:val="32"/>
          <w:szCs w:val="32"/>
          <w:highlight w:val="none"/>
        </w:rPr>
        <w:t>部门预算、专项资金预算项目支出绩效目标自评表（2022年度）</w:t>
      </w:r>
      <w:bookmarkEnd w:id="106"/>
      <w:bookmarkEnd w:id="107"/>
    </w:p>
    <w:tbl>
      <w:tblPr>
        <w:tblStyle w:val="13"/>
        <w:tblW w:w="499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08"/>
        <w:gridCol w:w="1373"/>
        <w:gridCol w:w="950"/>
        <w:gridCol w:w="1481"/>
        <w:gridCol w:w="665"/>
        <w:gridCol w:w="799"/>
        <w:gridCol w:w="695"/>
        <w:gridCol w:w="864"/>
        <w:gridCol w:w="601"/>
        <w:gridCol w:w="746"/>
        <w:gridCol w:w="907"/>
        <w:gridCol w:w="30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1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项目名称</w:t>
            </w:r>
          </w:p>
        </w:tc>
        <w:tc>
          <w:tcPr>
            <w:tcW w:w="399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网络安全及信息化建设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1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主管部门（盖章）</w:t>
            </w:r>
          </w:p>
        </w:tc>
        <w:tc>
          <w:tcPr>
            <w:tcW w:w="171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广元市财政局</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实施单位 （盖章）</w:t>
            </w:r>
          </w:p>
        </w:tc>
        <w:tc>
          <w:tcPr>
            <w:tcW w:w="196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广元市财政局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4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项目基本情况</w:t>
            </w:r>
          </w:p>
        </w:tc>
        <w:tc>
          <w:tcPr>
            <w:tcW w:w="5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1.项目年度目标完成情况</w:t>
            </w:r>
          </w:p>
        </w:tc>
        <w:tc>
          <w:tcPr>
            <w:tcW w:w="171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项目年度目标</w:t>
            </w:r>
          </w:p>
        </w:tc>
        <w:tc>
          <w:tcPr>
            <w:tcW w:w="228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3" w:hRule="atLeast"/>
        </w:trPr>
        <w:tc>
          <w:tcPr>
            <w:tcW w:w="4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171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通过增加网络及安全设备对全市财政业务专网进行网络结构改造，保证全市财政各项系统安全有效运行，确保财政工作正常开展。</w:t>
            </w:r>
          </w:p>
        </w:tc>
        <w:tc>
          <w:tcPr>
            <w:tcW w:w="228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通过该项目顺利实施，确保了全市财政业务专网的安全，保障了全市财政业务系统安全、稳定运行，推动了全市经济高质量发展。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4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2.项目实施内容及过程概述</w:t>
            </w:r>
          </w:p>
        </w:tc>
        <w:tc>
          <w:tcPr>
            <w:tcW w:w="399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对照《四川省财政业务专网网络安全接入规范》、《信息安全技术网络安全等级保护基本要求》和《四川省财政业务专网网络安全工作规范》（川财网信办〔2020〕1号）要求，项目主要开展保障财政业务专网安全建设，完成网络设备、安全设备、运维安全管理（堡垒机系统）、安全日志审计、主机安全管理、漏扫系统和县区（市级预算单位）接入点边界防护等设备及系统的搭建和部分设备的备份冗余匹配，所有安全设备均为国产化目录内设备,通过两期安全建设，确保我局财政业务专网达到三级等保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4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预算执行情况（10分）</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年度预算数（万元）</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年初预算</w:t>
            </w:r>
          </w:p>
        </w:tc>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调整后预算数</w:t>
            </w:r>
          </w:p>
        </w:tc>
        <w:tc>
          <w:tcPr>
            <w:tcW w:w="8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预算执行数</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预算执行率</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权重%</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部门自评得分</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财政部门科室复评得分</w:t>
            </w:r>
          </w:p>
        </w:tc>
        <w:tc>
          <w:tcPr>
            <w:tcW w:w="1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总额</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74.21</w:t>
            </w:r>
          </w:p>
        </w:tc>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8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74.21</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cs="宋体"/>
                <w:i w:val="0"/>
                <w:color w:val="000000"/>
                <w:kern w:val="0"/>
                <w:sz w:val="16"/>
                <w:szCs w:val="16"/>
                <w:u w:val="none"/>
                <w:lang w:val="en-US" w:eastAsia="zh-CN" w:bidi="ar"/>
              </w:rPr>
              <w:t>100</w:t>
            </w:r>
            <w:r>
              <w:rPr>
                <w:rFonts w:hint="eastAsia" w:ascii="宋体" w:hAnsi="宋体" w:eastAsia="宋体" w:cs="宋体"/>
                <w:i w:val="0"/>
                <w:color w:val="000000"/>
                <w:kern w:val="0"/>
                <w:sz w:val="16"/>
                <w:szCs w:val="16"/>
                <w:u w:val="none"/>
                <w:lang w:val="en-US" w:eastAsia="zh-CN" w:bidi="ar"/>
              </w:rPr>
              <w:t>%</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其中：财政资金</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74.21</w:t>
            </w:r>
          </w:p>
        </w:tc>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8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74.21</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cs="宋体"/>
                <w:i w:val="0"/>
                <w:color w:val="000000"/>
                <w:kern w:val="0"/>
                <w:sz w:val="16"/>
                <w:szCs w:val="16"/>
                <w:u w:val="none"/>
                <w:lang w:val="en-US" w:eastAsia="zh-CN" w:bidi="ar"/>
              </w:rPr>
              <w:t>100</w:t>
            </w:r>
            <w:r>
              <w:rPr>
                <w:rFonts w:hint="eastAsia" w:ascii="宋体" w:hAnsi="宋体" w:eastAsia="宋体" w:cs="宋体"/>
                <w:i w:val="0"/>
                <w:color w:val="000000"/>
                <w:kern w:val="0"/>
                <w:sz w:val="16"/>
                <w:szCs w:val="16"/>
                <w:u w:val="none"/>
                <w:lang w:val="en-US" w:eastAsia="zh-CN" w:bidi="ar"/>
              </w:rPr>
              <w:t>%</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财政专户管理资金</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8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单位资金</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8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其他资金</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80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4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绩效指标（90分）</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一级指标</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二级指标</w:t>
            </w:r>
          </w:p>
        </w:tc>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三级指标</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指标性质</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指标值</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度量单位</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完成值</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权重</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部门自评得分</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财政部门科室复评得分</w:t>
            </w:r>
          </w:p>
        </w:tc>
        <w:tc>
          <w:tcPr>
            <w:tcW w:w="1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color w:val="000000"/>
                <w:sz w:val="16"/>
                <w:szCs w:val="16"/>
                <w:u w:val="none"/>
              </w:rPr>
            </w:pPr>
            <w:r>
              <w:rPr>
                <w:rFonts w:hint="eastAsia" w:ascii="宋体" w:hAnsi="宋体" w:eastAsia="宋体" w:cs="宋体"/>
                <w:b/>
                <w:bCs/>
                <w:i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数量指标</w:t>
            </w:r>
          </w:p>
        </w:tc>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金财网络信息化建设</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套</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时效指标</w:t>
            </w:r>
          </w:p>
        </w:tc>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信息系统及网站运行</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2022</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年</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2022年</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质量指标</w:t>
            </w:r>
          </w:p>
        </w:tc>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金财网络运行安全度</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4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成本指标</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成本指标</w:t>
            </w:r>
          </w:p>
        </w:tc>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网络安全建设</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74.21</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万元</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74.21</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社会效益指标</w:t>
            </w:r>
          </w:p>
        </w:tc>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财政工作</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满意度指标</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服务对象满意度指标</w:t>
            </w:r>
          </w:p>
        </w:tc>
        <w:tc>
          <w:tcPr>
            <w:tcW w:w="5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系统运行满意度</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90</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3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合计</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c>
          <w:tcPr>
            <w:tcW w:w="1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部门（单位）自评结论</w:t>
            </w:r>
          </w:p>
        </w:tc>
        <w:tc>
          <w:tcPr>
            <w:tcW w:w="4511"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通过自评，该项目顺利实施，确保了全市财政业务专网的安全，保障了全市财政业务系统安全、稳定运行，推动了全市经济高质量发展。自评得分100分。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部门（单位）自评存在问题</w:t>
            </w:r>
          </w:p>
        </w:tc>
        <w:tc>
          <w:tcPr>
            <w:tcW w:w="4511"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项目测算标准有待细化，测算准确率有待提高。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部门（单位）自评改进措施</w:t>
            </w:r>
          </w:p>
        </w:tc>
        <w:tc>
          <w:tcPr>
            <w:tcW w:w="4511"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细化预算编制工作，提升预算编制准确度。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财政部门对口科室复评结论及整改要求</w:t>
            </w:r>
          </w:p>
        </w:tc>
        <w:tc>
          <w:tcPr>
            <w:tcW w:w="4511"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5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单位项目负责人：</w:t>
            </w:r>
          </w:p>
        </w:tc>
        <w:tc>
          <w:tcPr>
            <w:tcW w:w="2845"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单位财务负责人：衡云云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5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部门项目负责人：</w:t>
            </w:r>
          </w:p>
        </w:tc>
        <w:tc>
          <w:tcPr>
            <w:tcW w:w="2845"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部门财务负责人：衡云云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财政部门科室负责人：</w:t>
            </w:r>
          </w:p>
        </w:tc>
      </w:tr>
    </w:tbl>
    <w:p>
      <w:pPr>
        <w:spacing w:line="600" w:lineRule="exact"/>
        <w:jc w:val="center"/>
        <w:outlineLvl w:val="0"/>
        <w:rPr>
          <w:rStyle w:val="17"/>
          <w:rFonts w:hint="eastAsia" w:ascii="黑体" w:hAnsi="黑体" w:eastAsia="黑体"/>
          <w:b w:val="0"/>
          <w:color w:val="auto"/>
          <w:sz w:val="32"/>
          <w:szCs w:val="32"/>
          <w:highlight w:val="none"/>
        </w:rPr>
      </w:pPr>
      <w:bookmarkStart w:id="108" w:name="_Toc1629562664_WPSOffice_Level2"/>
      <w:bookmarkStart w:id="109" w:name="_Toc30154"/>
      <w:r>
        <w:rPr>
          <w:rStyle w:val="17"/>
          <w:rFonts w:hint="eastAsia" w:ascii="黑体" w:hAnsi="黑体" w:eastAsia="黑体"/>
          <w:b w:val="0"/>
          <w:color w:val="auto"/>
          <w:sz w:val="32"/>
          <w:szCs w:val="32"/>
          <w:highlight w:val="none"/>
        </w:rPr>
        <w:t>部门预算、专项资金预算项目支出绩效目标自评表（2022年度）</w:t>
      </w:r>
      <w:bookmarkEnd w:id="108"/>
      <w:bookmarkEnd w:id="109"/>
    </w:p>
    <w:tbl>
      <w:tblPr>
        <w:tblStyle w:val="13"/>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12"/>
        <w:gridCol w:w="1371"/>
        <w:gridCol w:w="1100"/>
        <w:gridCol w:w="1433"/>
        <w:gridCol w:w="523"/>
        <w:gridCol w:w="869"/>
        <w:gridCol w:w="571"/>
        <w:gridCol w:w="960"/>
        <w:gridCol w:w="601"/>
        <w:gridCol w:w="743"/>
        <w:gridCol w:w="904"/>
        <w:gridCol w:w="30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7" w:hRule="atLeast"/>
        </w:trPr>
        <w:tc>
          <w:tcPr>
            <w:tcW w:w="1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项目名称</w:t>
            </w:r>
          </w:p>
        </w:tc>
        <w:tc>
          <w:tcPr>
            <w:tcW w:w="399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乡村振兴工作经费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trPr>
        <w:tc>
          <w:tcPr>
            <w:tcW w:w="1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主管部门（盖章）</w:t>
            </w:r>
          </w:p>
        </w:tc>
        <w:tc>
          <w:tcPr>
            <w:tcW w:w="167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广元市财政局</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实施单位 （盖章）</w:t>
            </w:r>
          </w:p>
        </w:tc>
        <w:tc>
          <w:tcPr>
            <w:tcW w:w="196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广元市财政局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4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项目基本情况</w:t>
            </w:r>
          </w:p>
        </w:tc>
        <w:tc>
          <w:tcPr>
            <w:tcW w:w="51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1.项目年度目标完成情况</w:t>
            </w:r>
          </w:p>
        </w:tc>
        <w:tc>
          <w:tcPr>
            <w:tcW w:w="167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项目年度目标</w:t>
            </w:r>
          </w:p>
        </w:tc>
        <w:tc>
          <w:tcPr>
            <w:tcW w:w="23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5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167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推进乡村振兴帮扶工作有序开展，做好产业规划，加强基础设施建设，着力夯实村党组织力量。</w:t>
            </w:r>
          </w:p>
        </w:tc>
        <w:tc>
          <w:tcPr>
            <w:tcW w:w="23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项目主要保障狮坪村和枣林村驻村工作顺利开展，有效保障了驻村工作开展。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2.项目实施内容及过程概述</w:t>
            </w:r>
          </w:p>
        </w:tc>
        <w:tc>
          <w:tcPr>
            <w:tcW w:w="399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项目主要保障狮坪村和枣林村驻村工作顺利开展，具体包括驻村队员生活补助、房租费和办公费等工作经费，项目实施中按规定支付各项资金，有效保障了驻村工作开展。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trPr>
        <w:tc>
          <w:tcPr>
            <w:tcW w:w="4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预算执行情况（10分）</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年度预算数（万元）</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年初预算</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调整后预算数</w:t>
            </w:r>
          </w:p>
        </w:tc>
        <w:tc>
          <w:tcPr>
            <w:tcW w:w="73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预算执行数</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预算执行率</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权重%</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部门自评得分</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财政部门科室复评得分</w:t>
            </w: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总额</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12.52</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3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12.52</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其中：财政资金</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12.52</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3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12.52</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财政专户管理资金</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3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单位资金</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3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其他资金</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3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4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绩效指标（90分）</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一级指标</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二级指标</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三级指标</w:t>
            </w:r>
          </w:p>
        </w:tc>
        <w:tc>
          <w:tcPr>
            <w:tcW w:w="1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指标性质</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指标值</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度量单位</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完成值</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权重</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部门自评得分</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财政部门科室复评得分</w:t>
            </w: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时效指标</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驻村时间</w:t>
            </w:r>
          </w:p>
        </w:tc>
        <w:tc>
          <w:tcPr>
            <w:tcW w:w="1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22</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天/月</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24</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数量指标</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工作队员</w:t>
            </w:r>
          </w:p>
        </w:tc>
        <w:tc>
          <w:tcPr>
            <w:tcW w:w="1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7</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人</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7</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质量指标</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工作要求</w:t>
            </w:r>
          </w:p>
        </w:tc>
        <w:tc>
          <w:tcPr>
            <w:tcW w:w="1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成本指标</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成本指标</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工作经费</w:t>
            </w:r>
          </w:p>
        </w:tc>
        <w:tc>
          <w:tcPr>
            <w:tcW w:w="1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12.52</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万元</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eastAsia="宋体" w:cs="宋体"/>
                <w:i w:val="0"/>
                <w:color w:val="000000"/>
                <w:kern w:val="0"/>
                <w:sz w:val="16"/>
                <w:szCs w:val="16"/>
                <w:u w:val="none"/>
                <w:lang w:val="en-US" w:eastAsia="zh-CN" w:bidi="ar"/>
              </w:rPr>
              <w:t>12.</w:t>
            </w:r>
            <w:r>
              <w:rPr>
                <w:rFonts w:hint="eastAsia" w:ascii="宋体" w:hAnsi="宋体" w:cs="宋体"/>
                <w:i w:val="0"/>
                <w:color w:val="000000"/>
                <w:kern w:val="0"/>
                <w:sz w:val="16"/>
                <w:szCs w:val="16"/>
                <w:u w:val="none"/>
                <w:lang w:val="en-US" w:eastAsia="zh-CN" w:bidi="ar"/>
              </w:rPr>
              <w:t>52</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经济效益指标</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村集体产业发展</w:t>
            </w:r>
          </w:p>
        </w:tc>
        <w:tc>
          <w:tcPr>
            <w:tcW w:w="1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可持续发展指标</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产业持续发展</w:t>
            </w:r>
          </w:p>
        </w:tc>
        <w:tc>
          <w:tcPr>
            <w:tcW w:w="1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满意度指标</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帮扶对象满意度指标</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对口联系村满意度</w:t>
            </w:r>
          </w:p>
        </w:tc>
        <w:tc>
          <w:tcPr>
            <w:tcW w:w="1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90</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0.95</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303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合计</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c>
          <w:tcPr>
            <w:tcW w:w="11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部门（单位）自评结论</w:t>
            </w:r>
          </w:p>
        </w:tc>
        <w:tc>
          <w:tcPr>
            <w:tcW w:w="451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通过自评，该项目预算执行进度好，全力保障了驻村作的开展，圆满完成年度目标任务，自评得分100分。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部门（单位）自评存在问题</w:t>
            </w:r>
          </w:p>
        </w:tc>
        <w:tc>
          <w:tcPr>
            <w:tcW w:w="451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部门（单位）自评改进措施</w:t>
            </w:r>
          </w:p>
        </w:tc>
        <w:tc>
          <w:tcPr>
            <w:tcW w:w="451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财政部门对口科室复评结论及整改要求</w:t>
            </w:r>
          </w:p>
        </w:tc>
        <w:tc>
          <w:tcPr>
            <w:tcW w:w="451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3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单位项目负责人：</w:t>
            </w:r>
          </w:p>
        </w:tc>
        <w:tc>
          <w:tcPr>
            <w:tcW w:w="286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单位财务负责人：衡云云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3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部门项目负责人：</w:t>
            </w:r>
          </w:p>
        </w:tc>
        <w:tc>
          <w:tcPr>
            <w:tcW w:w="286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部门财务负责人：衡云云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财政部门科室负责人：</w:t>
            </w:r>
          </w:p>
        </w:tc>
      </w:tr>
    </w:tbl>
    <w:p>
      <w:pPr>
        <w:pStyle w:val="2"/>
        <w:rPr>
          <w:rFonts w:hint="eastAsia"/>
        </w:rPr>
      </w:pPr>
    </w:p>
    <w:p>
      <w:pPr>
        <w:spacing w:line="600" w:lineRule="exact"/>
        <w:jc w:val="both"/>
        <w:outlineLvl w:val="9"/>
        <w:rPr>
          <w:rStyle w:val="17"/>
          <w:rFonts w:hint="eastAsia" w:ascii="黑体" w:hAnsi="黑体" w:eastAsia="黑体"/>
          <w:b w:val="0"/>
          <w:color w:val="auto"/>
          <w:sz w:val="32"/>
          <w:szCs w:val="32"/>
          <w:highlight w:val="none"/>
        </w:rPr>
      </w:pPr>
    </w:p>
    <w:p>
      <w:pPr>
        <w:spacing w:line="600" w:lineRule="exact"/>
        <w:jc w:val="center"/>
        <w:outlineLvl w:val="0"/>
        <w:rPr>
          <w:rStyle w:val="17"/>
          <w:rFonts w:hint="eastAsia" w:ascii="黑体" w:hAnsi="黑体" w:eastAsia="黑体"/>
          <w:b w:val="0"/>
          <w:color w:val="auto"/>
          <w:sz w:val="32"/>
          <w:szCs w:val="32"/>
          <w:highlight w:val="none"/>
        </w:rPr>
      </w:pPr>
      <w:bookmarkStart w:id="110" w:name="_Toc384728602_WPSOffice_Level2"/>
      <w:bookmarkStart w:id="111" w:name="_Toc2806"/>
      <w:r>
        <w:rPr>
          <w:rStyle w:val="17"/>
          <w:rFonts w:hint="eastAsia" w:ascii="黑体" w:hAnsi="黑体" w:eastAsia="黑体"/>
          <w:b w:val="0"/>
          <w:color w:val="auto"/>
          <w:sz w:val="32"/>
          <w:szCs w:val="32"/>
          <w:highlight w:val="none"/>
        </w:rPr>
        <w:t>部门预算、专项资金预算项目支出绩效目标自评表（2022年度）</w:t>
      </w:r>
      <w:bookmarkEnd w:id="110"/>
      <w:bookmarkEnd w:id="111"/>
    </w:p>
    <w:tbl>
      <w:tblPr>
        <w:tblStyle w:val="13"/>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74"/>
        <w:gridCol w:w="1433"/>
        <w:gridCol w:w="1154"/>
        <w:gridCol w:w="1494"/>
        <w:gridCol w:w="539"/>
        <w:gridCol w:w="971"/>
        <w:gridCol w:w="630"/>
        <w:gridCol w:w="899"/>
        <w:gridCol w:w="633"/>
        <w:gridCol w:w="778"/>
        <w:gridCol w:w="950"/>
        <w:gridCol w:w="25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0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项目名称</w:t>
            </w:r>
          </w:p>
        </w:tc>
        <w:tc>
          <w:tcPr>
            <w:tcW w:w="39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预算管理一体化系统运行维护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0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主管部门（盖章）</w:t>
            </w:r>
          </w:p>
        </w:tc>
        <w:tc>
          <w:tcPr>
            <w:tcW w:w="178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广元市财政局</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实施单位 （盖章）</w:t>
            </w:r>
          </w:p>
        </w:tc>
        <w:tc>
          <w:tcPr>
            <w:tcW w:w="183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广元市财政局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1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项目基本情况</w:t>
            </w:r>
          </w:p>
        </w:tc>
        <w:tc>
          <w:tcPr>
            <w:tcW w:w="5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1.项目年度目标完成情况</w:t>
            </w:r>
          </w:p>
        </w:tc>
        <w:tc>
          <w:tcPr>
            <w:tcW w:w="178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项目年度目标</w:t>
            </w:r>
          </w:p>
        </w:tc>
        <w:tc>
          <w:tcPr>
            <w:tcW w:w="21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00" w:hRule="atLeast"/>
        </w:trPr>
        <w:tc>
          <w:tcPr>
            <w:tcW w:w="5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5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178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推进预算管理一体化建设，以系统化思维整合预算管理全流程，建立统一的预算管理一体化规范，将管理规则嵌入信息系统，构建现代信息技术条件下“制度+技术”的管理机制，全面提高预算管理规范化、标准化和自动化水平。</w:t>
            </w:r>
          </w:p>
        </w:tc>
        <w:tc>
          <w:tcPr>
            <w:tcW w:w="21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实施预算管理一体化信息系统建设，将项目管理、预算编制、预算批复、预算调整和调剂、预算执行、会计核算、决算和报告、绩效管理、政府采购等内容全部纳入系统管理，在系统中实时记录和反映预算指标在预算管理各业务环节的来源、增减和状态，强化预算指标对执行的约束，真正做到支出以经批准的预算为依据，未列入预算的不得支出，能有效提高部门预算的完整性和各类资金的统筹能力，实现政府预算、部门预算之间以及上下级预算之间的业务环节无缝衔接和有效控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40" w:hRule="atLeast"/>
        </w:trPr>
        <w:tc>
          <w:tcPr>
            <w:tcW w:w="5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2.项目实施内容及过程概述</w:t>
            </w:r>
          </w:p>
        </w:tc>
        <w:tc>
          <w:tcPr>
            <w:tcW w:w="3953"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目实施内容：1、负责预算管理一体化基础信息维护指导，根据局内相关科室业务需求设置维护相关报表。2、按要求维护预算编制口径计算公式，维护预算编制、预算调整调剂、预算执行相关报表。3、会计核算帐套、会计科目挂接科目的辅助核算项和机制凭证规则设置，会计报表定制维护。协助各预算单位基础设置、会计科目及核算体系、系统初始化、业务规则和配置等工作。4、按照要求完成政府采购执行、预算绩效指标维护，协助资金动态监控和“三保”支出监控等模块的后续建设。5、按照业务标准开展财政部门和预算单位规范化培训。6、协助财政部门对市级预算单位和县区财政部门进行系统的问题的解决和答凝，安排3-5人在指定办公地点驻局工作12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51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预算执行情况（10分）</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年度预算数（万元）</w:t>
            </w:r>
          </w:p>
        </w:tc>
        <w:tc>
          <w:tcPr>
            <w:tcW w:w="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年初预算</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调整后预算数</w:t>
            </w:r>
          </w:p>
        </w:tc>
        <w:tc>
          <w:tcPr>
            <w:tcW w:w="79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预算执行数</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预算执行率</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权重%</w:t>
            </w: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部门自评得分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财政部门科室复评得分</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总额</w:t>
            </w:r>
          </w:p>
        </w:tc>
        <w:tc>
          <w:tcPr>
            <w:tcW w:w="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16</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9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16</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95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其中：财政资金</w:t>
            </w:r>
          </w:p>
        </w:tc>
        <w:tc>
          <w:tcPr>
            <w:tcW w:w="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16</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9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16</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9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财政专户管理资金</w:t>
            </w:r>
          </w:p>
        </w:tc>
        <w:tc>
          <w:tcPr>
            <w:tcW w:w="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9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9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单位资金</w:t>
            </w:r>
          </w:p>
        </w:tc>
        <w:tc>
          <w:tcPr>
            <w:tcW w:w="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9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9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其他资金</w:t>
            </w:r>
          </w:p>
        </w:tc>
        <w:tc>
          <w:tcPr>
            <w:tcW w:w="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9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9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51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绩效指标（90分）</w:t>
            </w: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一级指标</w:t>
            </w:r>
          </w:p>
        </w:tc>
        <w:tc>
          <w:tcPr>
            <w:tcW w:w="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二级指标</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三级指标</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指标性质</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指标值</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度量单位</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完成值</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权重</w:t>
            </w: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部门自评得分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财政部门科室复评得分</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数量指标</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使用单位</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240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个</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240</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质量指标</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系统运行质量</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时效指标</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运行维护时效</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2022</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年</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2022</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3" w:hRule="atLeast"/>
        </w:trPr>
        <w:tc>
          <w:tcPr>
            <w:tcW w:w="5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成本指标</w:t>
            </w:r>
          </w:p>
        </w:tc>
        <w:tc>
          <w:tcPr>
            <w:tcW w:w="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成本指标</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运维费用</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16</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万元</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16</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经济效益指标</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节约资金</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社会效益指标</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资金管理成效</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满意度指标</w:t>
            </w:r>
          </w:p>
        </w:tc>
        <w:tc>
          <w:tcPr>
            <w:tcW w:w="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服务对象满意度指标</w:t>
            </w:r>
          </w:p>
        </w:tc>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系统运行满意度</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95</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166"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合计</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trPr>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部门（单位）自评结论</w:t>
            </w:r>
          </w:p>
        </w:tc>
        <w:tc>
          <w:tcPr>
            <w:tcW w:w="4487"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完成招标文件中的要求的实施工作及服务内容,自评得分100分。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部门（单位）自评存在问题</w:t>
            </w:r>
          </w:p>
        </w:tc>
        <w:tc>
          <w:tcPr>
            <w:tcW w:w="4487"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3" w:hRule="atLeast"/>
        </w:trPr>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部门（单位）自评改进措施</w:t>
            </w:r>
          </w:p>
        </w:tc>
        <w:tc>
          <w:tcPr>
            <w:tcW w:w="4487"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8" w:hRule="atLeast"/>
        </w:trPr>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财政部门对口科室复评结论及整改要求</w:t>
            </w:r>
          </w:p>
        </w:tc>
        <w:tc>
          <w:tcPr>
            <w:tcW w:w="4487"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23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单位项目负责人：</w:t>
            </w:r>
          </w:p>
        </w:tc>
        <w:tc>
          <w:tcPr>
            <w:tcW w:w="2765"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单位财务负责人：衡云云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23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部门项目负责人：</w:t>
            </w:r>
          </w:p>
        </w:tc>
        <w:tc>
          <w:tcPr>
            <w:tcW w:w="2765"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部门财务负责人：衡云云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财政部门科室负责人：</w:t>
            </w:r>
          </w:p>
        </w:tc>
      </w:tr>
    </w:tbl>
    <w:p>
      <w:pPr>
        <w:spacing w:line="600" w:lineRule="exact"/>
        <w:jc w:val="center"/>
        <w:outlineLvl w:val="0"/>
        <w:rPr>
          <w:rStyle w:val="17"/>
          <w:rFonts w:hint="eastAsia" w:ascii="黑体" w:hAnsi="黑体" w:eastAsia="黑体"/>
          <w:b w:val="0"/>
          <w:color w:val="auto"/>
          <w:sz w:val="32"/>
          <w:szCs w:val="32"/>
          <w:highlight w:val="none"/>
        </w:rPr>
      </w:pPr>
      <w:bookmarkStart w:id="112" w:name="_Toc4263"/>
      <w:bookmarkStart w:id="113" w:name="_Toc1017293744_WPSOffice_Level2"/>
      <w:r>
        <w:rPr>
          <w:rStyle w:val="17"/>
          <w:rFonts w:hint="eastAsia" w:ascii="黑体" w:hAnsi="黑体" w:eastAsia="黑体"/>
          <w:b w:val="0"/>
          <w:color w:val="auto"/>
          <w:sz w:val="32"/>
          <w:szCs w:val="32"/>
          <w:highlight w:val="none"/>
        </w:rPr>
        <w:t>部门预算、专项资金预算项目支出绩效目标自评表（2022年度）</w:t>
      </w:r>
      <w:bookmarkEnd w:id="112"/>
      <w:bookmarkEnd w:id="113"/>
    </w:p>
    <w:tbl>
      <w:tblPr>
        <w:tblStyle w:val="13"/>
        <w:tblW w:w="499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11"/>
        <w:gridCol w:w="1371"/>
        <w:gridCol w:w="1100"/>
        <w:gridCol w:w="1379"/>
        <w:gridCol w:w="652"/>
        <w:gridCol w:w="751"/>
        <w:gridCol w:w="545"/>
        <w:gridCol w:w="1027"/>
        <w:gridCol w:w="601"/>
        <w:gridCol w:w="738"/>
        <w:gridCol w:w="901"/>
        <w:gridCol w:w="30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1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项目名称</w:t>
            </w:r>
          </w:p>
        </w:tc>
        <w:tc>
          <w:tcPr>
            <w:tcW w:w="399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争取项目资金工作经费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主管部门（盖章）</w:t>
            </w:r>
          </w:p>
        </w:tc>
        <w:tc>
          <w:tcPr>
            <w:tcW w:w="165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广元市财政局</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实施单位 （盖章）</w:t>
            </w:r>
          </w:p>
        </w:tc>
        <w:tc>
          <w:tcPr>
            <w:tcW w:w="196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广元市财政局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4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项目基本情况</w:t>
            </w:r>
          </w:p>
        </w:tc>
        <w:tc>
          <w:tcPr>
            <w:tcW w:w="5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1.项目年度目标完成情况</w:t>
            </w:r>
          </w:p>
        </w:tc>
        <w:tc>
          <w:tcPr>
            <w:tcW w:w="165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项目年度目标</w:t>
            </w:r>
          </w:p>
        </w:tc>
        <w:tc>
          <w:tcPr>
            <w:tcW w:w="23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2"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5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165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保障争取项目资金工作开展，全年向上汇报争取资金次数不少于30次，完成年度争取项目资金工作任务。</w:t>
            </w:r>
          </w:p>
        </w:tc>
        <w:tc>
          <w:tcPr>
            <w:tcW w:w="23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2022年向上争取汇报工作 50次，争取 上级财政资金321亿元，增长13.9%，圆满完成年度目标任务。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2.项目实施内容及过程概述</w:t>
            </w:r>
          </w:p>
        </w:tc>
        <w:tc>
          <w:tcPr>
            <w:tcW w:w="399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项目主要保障向上争取资金工作开展，主要包括与争取资金相关的差旅费、印刷费等，项目实施中严格按照相关管理规定执行，保证了工作正常开展。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预算执行情况（10分）</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年度预算数（万元）</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年初预算</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调整后预算数</w:t>
            </w:r>
          </w:p>
        </w:tc>
        <w:tc>
          <w:tcPr>
            <w:tcW w:w="72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预算执行数</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预算执行率</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权重%</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部门自评得分</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财政部门科室复评得分</w:t>
            </w:r>
          </w:p>
        </w:tc>
        <w:tc>
          <w:tcPr>
            <w:tcW w:w="11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5"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总额</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50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36</w:t>
            </w:r>
          </w:p>
        </w:tc>
        <w:tc>
          <w:tcPr>
            <w:tcW w:w="72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22.63</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cs="宋体"/>
                <w:i w:val="0"/>
                <w:color w:val="000000"/>
                <w:kern w:val="0"/>
                <w:sz w:val="16"/>
                <w:szCs w:val="16"/>
                <w:u w:val="none"/>
                <w:lang w:val="en-US" w:eastAsia="zh-CN" w:bidi="ar"/>
              </w:rPr>
              <w:t>62.86</w:t>
            </w:r>
            <w:r>
              <w:rPr>
                <w:rFonts w:hint="eastAsia" w:ascii="宋体" w:hAnsi="宋体" w:eastAsia="宋体" w:cs="宋体"/>
                <w:i w:val="0"/>
                <w:color w:val="000000"/>
                <w:kern w:val="0"/>
                <w:sz w:val="16"/>
                <w:szCs w:val="16"/>
                <w:u w:val="none"/>
                <w:lang w:val="en-US" w:eastAsia="zh-CN" w:bidi="ar"/>
              </w:rPr>
              <w:t>%</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cs="宋体"/>
                <w:i w:val="0"/>
                <w:color w:val="000000"/>
                <w:kern w:val="0"/>
                <w:sz w:val="16"/>
                <w:szCs w:val="16"/>
                <w:u w:val="none"/>
                <w:lang w:val="en-US" w:eastAsia="zh-CN" w:bidi="ar"/>
              </w:rPr>
              <w:t>8</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因该项目</w:t>
            </w:r>
            <w:r>
              <w:rPr>
                <w:rFonts w:hint="eastAsia" w:ascii="宋体" w:hAnsi="宋体" w:cs="宋体"/>
                <w:i w:val="0"/>
                <w:color w:val="000000"/>
                <w:kern w:val="0"/>
                <w:sz w:val="16"/>
                <w:szCs w:val="16"/>
                <w:u w:val="none"/>
                <w:lang w:val="en-US" w:eastAsia="zh-CN" w:bidi="ar"/>
              </w:rPr>
              <w:t>部分资金需结转到下年支付，因此当年未全部支付。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其中：财政资金</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50</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36</w:t>
            </w:r>
          </w:p>
        </w:tc>
        <w:tc>
          <w:tcPr>
            <w:tcW w:w="72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22.63</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cs="宋体"/>
                <w:i w:val="0"/>
                <w:color w:val="000000"/>
                <w:kern w:val="0"/>
                <w:sz w:val="16"/>
                <w:szCs w:val="16"/>
                <w:u w:val="none"/>
                <w:lang w:val="en-US" w:eastAsia="zh-CN" w:bidi="ar"/>
              </w:rPr>
              <w:t>62.86</w:t>
            </w:r>
            <w:r>
              <w:rPr>
                <w:rFonts w:hint="eastAsia" w:ascii="宋体" w:hAnsi="宋体" w:eastAsia="宋体" w:cs="宋体"/>
                <w:i w:val="0"/>
                <w:color w:val="000000"/>
                <w:kern w:val="0"/>
                <w:sz w:val="16"/>
                <w:szCs w:val="16"/>
                <w:u w:val="none"/>
                <w:lang w:val="en-US" w:eastAsia="zh-CN" w:bidi="ar"/>
              </w:rPr>
              <w:t>%</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财政专户管理资金</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2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单位资金</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2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其他资金</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2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4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绩效指标（90分）</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一级指标</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二级指标</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三级指标</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指标性质</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指标值</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度量单位</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完成值</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权重</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部门自评得分</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财政部门科室复评得分</w:t>
            </w:r>
          </w:p>
        </w:tc>
        <w:tc>
          <w:tcPr>
            <w:tcW w:w="11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数量指标</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争取汇报工作次数</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次</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50</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数量指标</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争取资金</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60</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亿元</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321</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成本指标</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成本指标</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工作经费</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50</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万元</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22.63</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质量指标</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完成争取项目资金任务</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时效指标</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工作完成及时率</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2022</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年</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2022</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可持续发展指标</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社会经济发展</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经济效益指标</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财政收入增长</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13.9</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满意度指标</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服务对象满意度指标</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部门单位满意度</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90</w:t>
            </w: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95</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3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合计</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bidi="ar"/>
              </w:rPr>
              <w:t>98</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c>
          <w:tcPr>
            <w:tcW w:w="11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部门（单位）自评结论</w:t>
            </w:r>
          </w:p>
        </w:tc>
        <w:tc>
          <w:tcPr>
            <w:tcW w:w="451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通过自评， 2022年向上争取汇报工作 50次，争取 上级财政资金321亿元，增长13.9%，圆满完成年度目标任务，全力保障了财政工作的开展。自评得分</w:t>
            </w:r>
            <w:r>
              <w:rPr>
                <w:rFonts w:hint="eastAsia" w:ascii="宋体" w:hAnsi="宋体" w:cs="宋体"/>
                <w:i w:val="0"/>
                <w:color w:val="000000"/>
                <w:kern w:val="0"/>
                <w:sz w:val="16"/>
                <w:szCs w:val="16"/>
                <w:u w:val="none"/>
                <w:lang w:val="en-US" w:eastAsia="zh-CN" w:bidi="ar"/>
              </w:rPr>
              <w:t>98</w:t>
            </w:r>
            <w:r>
              <w:rPr>
                <w:rFonts w:hint="eastAsia" w:ascii="宋体" w:hAnsi="宋体" w:eastAsia="宋体" w:cs="宋体"/>
                <w:i w:val="0"/>
                <w:color w:val="000000"/>
                <w:kern w:val="0"/>
                <w:sz w:val="16"/>
                <w:szCs w:val="16"/>
                <w:u w:val="none"/>
                <w:lang w:val="en-US" w:eastAsia="zh-CN" w:bidi="ar"/>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部门（单位）自评存在问题</w:t>
            </w:r>
          </w:p>
        </w:tc>
        <w:tc>
          <w:tcPr>
            <w:tcW w:w="451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项目测算标准有待细化，测算准确率有待提高。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部门（单位）自评改进措施</w:t>
            </w:r>
          </w:p>
        </w:tc>
        <w:tc>
          <w:tcPr>
            <w:tcW w:w="451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细化预算编制工作，提升预算编制准确度。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4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财政部门对口科室复评结论及整改要求</w:t>
            </w:r>
          </w:p>
        </w:tc>
        <w:tc>
          <w:tcPr>
            <w:tcW w:w="451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6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单位项目负责人：</w:t>
            </w:r>
          </w:p>
        </w:tc>
        <w:tc>
          <w:tcPr>
            <w:tcW w:w="283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单位财务负责人：衡云云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6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部门项目负责人：</w:t>
            </w:r>
          </w:p>
        </w:tc>
        <w:tc>
          <w:tcPr>
            <w:tcW w:w="283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部门财务负责人：衡云云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财政部门科室负责人：</w:t>
            </w:r>
          </w:p>
        </w:tc>
      </w:tr>
    </w:tbl>
    <w:p>
      <w:pPr>
        <w:pStyle w:val="2"/>
        <w:rPr>
          <w:rFonts w:hint="eastAsia" w:ascii="黑体" w:hAnsi="黑体" w:eastAsia="黑体"/>
          <w:color w:val="auto"/>
          <w:sz w:val="44"/>
          <w:szCs w:val="44"/>
          <w:highlight w:val="none"/>
        </w:rPr>
      </w:pPr>
    </w:p>
    <w:p>
      <w:pPr>
        <w:rPr>
          <w:rFonts w:hint="eastAsia" w:ascii="方正小标宋简体" w:hAnsi="宋体" w:eastAsia="方正小标宋简体"/>
          <w:b w:val="0"/>
          <w:bCs w:val="0"/>
          <w:sz w:val="44"/>
          <w:szCs w:val="44"/>
          <w:lang w:val="en-US" w:eastAsia="zh-CN"/>
        </w:rPr>
        <w:sectPr>
          <w:pgSz w:w="16838" w:h="11906" w:orient="landscape"/>
          <w:pgMar w:top="1587" w:right="2098" w:bottom="1474" w:left="1531" w:header="851" w:footer="1559" w:gutter="0"/>
          <w:pgNumType w:fmt="decimal"/>
          <w:cols w:space="425" w:num="1"/>
          <w:docGrid w:type="lines" w:linePitch="312" w:charSpace="0"/>
        </w:sectPr>
      </w:pPr>
    </w:p>
    <w:p>
      <w:pPr>
        <w:spacing w:line="600" w:lineRule="exact"/>
        <w:jc w:val="center"/>
        <w:outlineLvl w:val="1"/>
        <w:rPr>
          <w:rFonts w:hint="eastAsia" w:ascii="黑体" w:hAnsi="黑体" w:eastAsia="黑体"/>
          <w:color w:val="auto"/>
          <w:sz w:val="44"/>
          <w:szCs w:val="44"/>
          <w:highlight w:val="none"/>
        </w:rPr>
      </w:pPr>
      <w:bookmarkStart w:id="114" w:name="_Toc13327"/>
      <w:r>
        <w:rPr>
          <w:rStyle w:val="17"/>
          <w:rFonts w:hint="eastAsia" w:ascii="黑体" w:hAnsi="黑体" w:eastAsia="黑体"/>
          <w:b w:val="0"/>
          <w:color w:val="auto"/>
          <w:sz w:val="32"/>
          <w:szCs w:val="32"/>
          <w:highlight w:val="none"/>
        </w:rPr>
        <w:t>部门预算、专项资金预算项目支出绩效目标自评表（2022年度）</w:t>
      </w:r>
      <w:bookmarkEnd w:id="114"/>
    </w:p>
    <w:tbl>
      <w:tblPr>
        <w:tblStyle w:val="13"/>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15"/>
        <w:gridCol w:w="1374"/>
        <w:gridCol w:w="1103"/>
        <w:gridCol w:w="1441"/>
        <w:gridCol w:w="657"/>
        <w:gridCol w:w="805"/>
        <w:gridCol w:w="456"/>
        <w:gridCol w:w="971"/>
        <w:gridCol w:w="636"/>
        <w:gridCol w:w="746"/>
        <w:gridCol w:w="907"/>
        <w:gridCol w:w="30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5" w:hRule="atLeast"/>
        </w:trPr>
        <w:tc>
          <w:tcPr>
            <w:tcW w:w="10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99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财政票据信息系统维护等专项资金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10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主管部门（盖章）</w:t>
            </w:r>
          </w:p>
        </w:tc>
        <w:tc>
          <w:tcPr>
            <w:tcW w:w="16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广元市财政局</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实施单位 （盖章）</w:t>
            </w:r>
          </w:p>
        </w:tc>
        <w:tc>
          <w:tcPr>
            <w:tcW w:w="197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广元市财政局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7" w:hRule="atLeast"/>
        </w:trPr>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项目基本情况</w:t>
            </w:r>
          </w:p>
        </w:tc>
        <w:tc>
          <w:tcPr>
            <w:tcW w:w="51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1.项目年度目标完成情况</w:t>
            </w:r>
          </w:p>
        </w:tc>
        <w:tc>
          <w:tcPr>
            <w:tcW w:w="16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项目年度目标</w:t>
            </w:r>
          </w:p>
        </w:tc>
        <w:tc>
          <w:tcPr>
            <w:tcW w:w="233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8"/>
                <w:szCs w:val="18"/>
                <w:u w:val="none"/>
              </w:rPr>
            </w:pPr>
          </w:p>
        </w:tc>
        <w:tc>
          <w:tcPr>
            <w:tcW w:w="5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8"/>
                <w:szCs w:val="18"/>
                <w:u w:val="none"/>
              </w:rPr>
            </w:pPr>
          </w:p>
        </w:tc>
        <w:tc>
          <w:tcPr>
            <w:tcW w:w="16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保障非税收缴电子票据系统及财政业务系统正常运转，确保财政工作正常开展。</w:t>
            </w:r>
          </w:p>
        </w:tc>
        <w:tc>
          <w:tcPr>
            <w:tcW w:w="233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完成了非税收缴电子票据系统、预算管理一体化系统、会计核算平台和财政门户网络系统的正常运转，确保了财政工作正常运转。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8"/>
                <w:szCs w:val="18"/>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2.项目实施内容及过程概述</w:t>
            </w:r>
          </w:p>
        </w:tc>
        <w:tc>
          <w:tcPr>
            <w:tcW w:w="399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该项目按照相关管理规定和我局“三重一大”、经费收支管理规定实施，保障了非税收缴电子票据系统、预算管理一体化系统、会计核算平台和财政门户网络系统的正常运转，在资金支付时严格按合同约定付款，确保了财政工作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3" w:hRule="atLeast"/>
        </w:trPr>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预算执行情况（10分）</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年度预算数（万元）</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年初预算</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调整后预算数</w:t>
            </w:r>
          </w:p>
        </w:tc>
        <w:tc>
          <w:tcPr>
            <w:tcW w:w="71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预算执行数</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预算执行率</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权重%</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部门自评得分</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财政部门科室复评得分</w:t>
            </w:r>
          </w:p>
        </w:tc>
        <w:tc>
          <w:tcPr>
            <w:tcW w:w="1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8"/>
                <w:szCs w:val="18"/>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总额</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50.00</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36.89</w:t>
            </w:r>
          </w:p>
        </w:tc>
        <w:tc>
          <w:tcPr>
            <w:tcW w:w="71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36.89</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100</w:t>
            </w:r>
            <w:r>
              <w:rPr>
                <w:rFonts w:hint="eastAsia" w:ascii="宋体" w:hAnsi="宋体" w:eastAsia="宋体" w:cs="宋体"/>
                <w:i w:val="0"/>
                <w:color w:val="000000"/>
                <w:kern w:val="0"/>
                <w:sz w:val="18"/>
                <w:szCs w:val="18"/>
                <w:u w:val="none"/>
                <w:lang w:val="en-US" w:eastAsia="zh-CN" w:bidi="ar"/>
              </w:rPr>
              <w:t>%</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11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8"/>
                <w:szCs w:val="18"/>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其中：财政资金</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50.00</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36.89</w:t>
            </w:r>
          </w:p>
        </w:tc>
        <w:tc>
          <w:tcPr>
            <w:tcW w:w="71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36.89</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100</w:t>
            </w:r>
            <w:r>
              <w:rPr>
                <w:rFonts w:hint="eastAsia" w:ascii="宋体" w:hAnsi="宋体" w:eastAsia="宋体" w:cs="宋体"/>
                <w:i w:val="0"/>
                <w:color w:val="000000"/>
                <w:kern w:val="0"/>
                <w:sz w:val="18"/>
                <w:szCs w:val="18"/>
                <w:u w:val="none"/>
                <w:lang w:val="en-US" w:eastAsia="zh-CN" w:bidi="ar"/>
              </w:rPr>
              <w:t>%</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11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8"/>
                <w:szCs w:val="18"/>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财政专户管理资金</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71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11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8"/>
                <w:szCs w:val="18"/>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单位资金</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71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11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8"/>
                <w:szCs w:val="18"/>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其他资金</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1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11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绩效指标（90分）</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指标性质</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度量单位</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完成值</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权重</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部门自评得分</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财政部门科室复评得分</w:t>
            </w:r>
          </w:p>
        </w:tc>
        <w:tc>
          <w:tcPr>
            <w:tcW w:w="1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8"/>
                <w:szCs w:val="18"/>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经济成本指标</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非税收缴电子票据系统服务费用</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2.7</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2.68</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1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8"/>
                <w:szCs w:val="18"/>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经济成本指标</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预算管理一体化系统维护费</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17.01</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1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该系统部分运行维护费当年未全部支付，剩余费用结转到2023年支付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8"/>
                <w:szCs w:val="18"/>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经济成本指标</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会计核算平台维护费</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17.2</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1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2"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8"/>
                <w:szCs w:val="18"/>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经济成本指标</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财政门户网络系统维护费</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4.3</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1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因该项目在年末下达，当年未完成支付，结转到2023年进行支付。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8"/>
                <w:szCs w:val="18"/>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系统正常运行率</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1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8"/>
                <w:szCs w:val="18"/>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项目完成时间</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1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8"/>
                <w:szCs w:val="18"/>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财政业务管理系统维护数量</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1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8"/>
                <w:szCs w:val="18"/>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财政管理</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定性</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优</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级</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优</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1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8"/>
                <w:szCs w:val="18"/>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系统使用单位满意度</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c>
          <w:tcPr>
            <w:tcW w:w="1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26"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合计</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98</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c>
          <w:tcPr>
            <w:tcW w:w="1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5" w:hRule="atLeast"/>
        </w:trPr>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部门（单位）自评结论</w:t>
            </w:r>
          </w:p>
        </w:tc>
        <w:tc>
          <w:tcPr>
            <w:tcW w:w="4509"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通过自评，该项目完成了非税收缴电子票据系统、预算管理一体化系统、会计核算平台和财政门户网络系统的运行维护，确保了财政工作正常开展。自评得分98分。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部门（单位）自评存在问题</w:t>
            </w:r>
          </w:p>
        </w:tc>
        <w:tc>
          <w:tcPr>
            <w:tcW w:w="4509"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因项目下达时间较晚，预算执行进度不够高。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5" w:hRule="atLeast"/>
        </w:trPr>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部门（单位）自评改进措施</w:t>
            </w:r>
          </w:p>
        </w:tc>
        <w:tc>
          <w:tcPr>
            <w:tcW w:w="4509"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提高项目实施进度，加快预算执行进度。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财政部门对口科室复评结论及整改要求</w:t>
            </w:r>
          </w:p>
        </w:tc>
        <w:tc>
          <w:tcPr>
            <w:tcW w:w="4509"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9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单位项目负责人：</w:t>
            </w:r>
          </w:p>
        </w:tc>
        <w:tc>
          <w:tcPr>
            <w:tcW w:w="280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单位财务负责人：衡云云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9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部门项目负责人：</w:t>
            </w:r>
          </w:p>
        </w:tc>
        <w:tc>
          <w:tcPr>
            <w:tcW w:w="280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部门财务负责人：衡云云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财政部门科室负责人：</w:t>
            </w:r>
          </w:p>
        </w:tc>
      </w:tr>
    </w:tbl>
    <w:p>
      <w:pPr>
        <w:rPr>
          <w:rFonts w:hint="eastAsia" w:ascii="方正小标宋简体" w:hAnsi="宋体" w:eastAsia="方正小标宋简体"/>
          <w:b w:val="0"/>
          <w:bCs w:val="0"/>
          <w:sz w:val="44"/>
          <w:szCs w:val="44"/>
          <w:lang w:val="en-US" w:eastAsia="zh-CN"/>
        </w:rPr>
        <w:sectPr>
          <w:footerReference r:id="rId6" w:type="default"/>
          <w:pgSz w:w="16838" w:h="11906" w:orient="landscape"/>
          <w:pgMar w:top="1587" w:right="2098" w:bottom="1474" w:left="1531" w:header="851" w:footer="1559" w:gutter="0"/>
          <w:pgNumType w:fmt="decimal"/>
          <w:cols w:space="425" w:num="1"/>
          <w:docGrid w:type="lines" w:linePitch="312" w:charSpace="0"/>
        </w:sectPr>
      </w:pPr>
    </w:p>
    <w:p>
      <w:pPr>
        <w:spacing w:line="600" w:lineRule="exact"/>
        <w:jc w:val="center"/>
        <w:outlineLvl w:val="0"/>
        <w:rPr>
          <w:rFonts w:hint="eastAsia" w:ascii="黑体" w:hAnsi="黑体" w:eastAsia="黑体"/>
          <w:color w:val="auto"/>
          <w:sz w:val="44"/>
          <w:szCs w:val="44"/>
          <w:highlight w:val="none"/>
        </w:rPr>
      </w:pPr>
      <w:bookmarkStart w:id="115" w:name="_Toc30889"/>
      <w:r>
        <w:rPr>
          <w:rStyle w:val="17"/>
          <w:rFonts w:hint="eastAsia" w:ascii="黑体" w:hAnsi="黑体" w:eastAsia="黑体"/>
          <w:b w:val="0"/>
          <w:color w:val="auto"/>
          <w:sz w:val="32"/>
          <w:szCs w:val="32"/>
          <w:highlight w:val="none"/>
        </w:rPr>
        <w:t>部门预算、专项资金预算项目支出绩效目标自评表（2022年度）</w:t>
      </w:r>
      <w:bookmarkEnd w:id="115"/>
    </w:p>
    <w:tbl>
      <w:tblPr>
        <w:tblStyle w:val="13"/>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88"/>
        <w:gridCol w:w="1453"/>
        <w:gridCol w:w="1167"/>
        <w:gridCol w:w="1527"/>
        <w:gridCol w:w="697"/>
        <w:gridCol w:w="821"/>
        <w:gridCol w:w="640"/>
        <w:gridCol w:w="912"/>
        <w:gridCol w:w="635"/>
        <w:gridCol w:w="787"/>
        <w:gridCol w:w="957"/>
        <w:gridCol w:w="31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5" w:hRule="atLeast"/>
        </w:trPr>
        <w:tc>
          <w:tcPr>
            <w:tcW w:w="10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项目名称</w:t>
            </w:r>
          </w:p>
        </w:tc>
        <w:tc>
          <w:tcPr>
            <w:tcW w:w="399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项目前期工作经费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0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主管部门（盖章）</w:t>
            </w:r>
          </w:p>
        </w:tc>
        <w:tc>
          <w:tcPr>
            <w:tcW w:w="171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广元市财政局</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实施单位 （盖章）</w:t>
            </w:r>
          </w:p>
        </w:tc>
        <w:tc>
          <w:tcPr>
            <w:tcW w:w="196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广元市财政局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项目基本情况</w:t>
            </w:r>
          </w:p>
        </w:tc>
        <w:tc>
          <w:tcPr>
            <w:tcW w:w="51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1.项目年度目标完成情况</w:t>
            </w:r>
          </w:p>
        </w:tc>
        <w:tc>
          <w:tcPr>
            <w:tcW w:w="171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项目年度目标</w:t>
            </w:r>
          </w:p>
        </w:tc>
        <w:tc>
          <w:tcPr>
            <w:tcW w:w="228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5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171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对广元市交通运输局报送的黑石坡至曾家山公路工程项目施工图预算开展项目评审工作</w:t>
            </w:r>
          </w:p>
        </w:tc>
        <w:tc>
          <w:tcPr>
            <w:tcW w:w="228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通过该项目实施，资金绩效取得良好成效，节约财政资金 6475.34 万元，提高了财政资金使用效益。推动了我市民生保障类项目工程建设，高效保障市本级重点项目落实落地。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2.项目实施内容及过程概述</w:t>
            </w:r>
          </w:p>
        </w:tc>
        <w:tc>
          <w:tcPr>
            <w:tcW w:w="3996"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项目委派：在接到评审任务后，了解评审项目基本情况，审查评审资料并制定评审方案，坚持公平、公正、公开、控制风险以及质量和效率并重的原则按序委派评审任务。</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实施阶段：协作机构按委托开展工作，在项目监管负责人的组织下，按期提交项目工作成果，并对项目工作成果的有效性、真实性、合法性负责，在协作过程中接受评审中心及财政局相关科室的监督。通过开展计量、价格调查、核价等工作，复核，形成完整的审核初稿报评审中心。</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完成阶段：报告复核前，编写报告及其附件，签署，发送报告，资料归还，总结，数据信息化处理及归档。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7" w:hRule="atLeast"/>
        </w:trPr>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预算执行情况（10分）</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年度预算数（万元）</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年初预算</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调整后预算数</w:t>
            </w:r>
          </w:p>
        </w:tc>
        <w:tc>
          <w:tcPr>
            <w:tcW w:w="7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预算执行数</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预算执行率</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权重%</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部门自评得分</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财政部门科室复评得分</w:t>
            </w:r>
          </w:p>
        </w:tc>
        <w:tc>
          <w:tcPr>
            <w:tcW w:w="1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总额</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30.00</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eastAsia="宋体" w:cs="宋体"/>
                <w:i w:val="0"/>
                <w:color w:val="000000"/>
                <w:sz w:val="16"/>
                <w:szCs w:val="16"/>
                <w:u w:val="none"/>
                <w:lang w:val="en-US" w:eastAsia="zh-CN"/>
              </w:rPr>
            </w:pPr>
            <w:r>
              <w:rPr>
                <w:rFonts w:hint="eastAsia" w:ascii="宋体" w:hAnsi="宋体" w:cs="宋体"/>
                <w:i w:val="0"/>
                <w:color w:val="000000"/>
                <w:sz w:val="16"/>
                <w:szCs w:val="16"/>
                <w:u w:val="none"/>
                <w:lang w:val="en-US" w:eastAsia="zh-CN"/>
              </w:rPr>
              <w:t>29.8</w:t>
            </w:r>
          </w:p>
        </w:tc>
        <w:tc>
          <w:tcPr>
            <w:tcW w:w="7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29.80</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cs="宋体"/>
                <w:i w:val="0"/>
                <w:color w:val="000000"/>
                <w:kern w:val="0"/>
                <w:sz w:val="16"/>
                <w:szCs w:val="16"/>
                <w:u w:val="none"/>
                <w:lang w:val="en-US" w:eastAsia="zh-CN" w:bidi="ar"/>
              </w:rPr>
              <w:t>100</w:t>
            </w:r>
            <w:r>
              <w:rPr>
                <w:rFonts w:hint="eastAsia" w:ascii="宋体" w:hAnsi="宋体" w:eastAsia="宋体" w:cs="宋体"/>
                <w:i w:val="0"/>
                <w:color w:val="000000"/>
                <w:kern w:val="0"/>
                <w:sz w:val="16"/>
                <w:szCs w:val="16"/>
                <w:u w:val="none"/>
                <w:lang w:val="en-US" w:eastAsia="zh-CN" w:bidi="ar"/>
              </w:rPr>
              <w:t>%</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其中：财政资金</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30.00</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default" w:ascii="宋体" w:hAnsi="宋体" w:eastAsia="宋体" w:cs="宋体"/>
                <w:i w:val="0"/>
                <w:color w:val="000000"/>
                <w:sz w:val="16"/>
                <w:szCs w:val="16"/>
                <w:u w:val="none"/>
                <w:lang w:val="en-US" w:eastAsia="zh-CN"/>
              </w:rPr>
            </w:pPr>
            <w:r>
              <w:rPr>
                <w:rFonts w:hint="eastAsia" w:ascii="宋体" w:hAnsi="宋体" w:cs="宋体"/>
                <w:i w:val="0"/>
                <w:color w:val="000000"/>
                <w:sz w:val="16"/>
                <w:szCs w:val="16"/>
                <w:u w:val="none"/>
                <w:lang w:val="en-US" w:eastAsia="zh-CN"/>
              </w:rPr>
              <w:t>29.8</w:t>
            </w:r>
          </w:p>
        </w:tc>
        <w:tc>
          <w:tcPr>
            <w:tcW w:w="7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29.80</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cs="宋体"/>
                <w:i w:val="0"/>
                <w:color w:val="000000"/>
                <w:kern w:val="0"/>
                <w:sz w:val="16"/>
                <w:szCs w:val="16"/>
                <w:u w:val="none"/>
                <w:lang w:val="en-US" w:eastAsia="zh-CN" w:bidi="ar"/>
              </w:rPr>
              <w:t>100</w:t>
            </w:r>
            <w:r>
              <w:rPr>
                <w:rFonts w:hint="eastAsia" w:ascii="宋体" w:hAnsi="宋体" w:eastAsia="宋体" w:cs="宋体"/>
                <w:i w:val="0"/>
                <w:color w:val="000000"/>
                <w:kern w:val="0"/>
                <w:sz w:val="16"/>
                <w:szCs w:val="16"/>
                <w:u w:val="none"/>
                <w:lang w:val="en-US" w:eastAsia="zh-CN" w:bidi="ar"/>
              </w:rPr>
              <w:t>%</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财政专户管理资金</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单位资金</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其他资金</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7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绩效指标（90分）</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一级指标</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二级指标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三级指标</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指标性质</w:t>
            </w: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指标值</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度量单位</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完成值</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权重</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部门自评得分</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财政部门科室复评得分</w:t>
            </w:r>
          </w:p>
        </w:tc>
        <w:tc>
          <w:tcPr>
            <w:tcW w:w="1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数量指标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评审项目</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个</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质量指标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工作开展及完成</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产出指标</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时效指标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工作完成时间</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2022</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年</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2022</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8"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成本指标</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成本指标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项目前期评审费</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万元</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29.8</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社会效益指标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项目实施效益</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定性</w:t>
            </w: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级</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优</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效益指标</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经济效益指标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节约财政资金</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6475万元</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16"/>
                <w:szCs w:val="16"/>
                <w:u w:val="none"/>
              </w:rPr>
            </w:pP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满意度指标</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服务对象满意度指标</w:t>
            </w:r>
          </w:p>
        </w:tc>
        <w:tc>
          <w:tcPr>
            <w:tcW w:w="5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主管单位满意度</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95%</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c>
          <w:tcPr>
            <w:tcW w:w="1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3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合计</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c>
          <w:tcPr>
            <w:tcW w:w="1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部门（单位）自评结论</w:t>
            </w:r>
          </w:p>
        </w:tc>
        <w:tc>
          <w:tcPr>
            <w:tcW w:w="4509"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通过该项目实施，资金绩效取得良好成效，节约财政资金 6475.34 万元，提高了财政资金使用效益。推动了我市民生保障类项目工程建设，高效保障市本级重点项目落实落地。该项目自评得分100分。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部门（单位）自评存在问题</w:t>
            </w:r>
          </w:p>
        </w:tc>
        <w:tc>
          <w:tcPr>
            <w:tcW w:w="4509"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部门（单位）自评改进措施</w:t>
            </w:r>
          </w:p>
        </w:tc>
        <w:tc>
          <w:tcPr>
            <w:tcW w:w="4509"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财政部门对口科室复评结论及整改要求</w:t>
            </w:r>
          </w:p>
        </w:tc>
        <w:tc>
          <w:tcPr>
            <w:tcW w:w="4509"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2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单位项目负责人：</w:t>
            </w:r>
          </w:p>
        </w:tc>
        <w:tc>
          <w:tcPr>
            <w:tcW w:w="279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单位财务负责人：衡云云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2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部门项目负责人：</w:t>
            </w:r>
          </w:p>
        </w:tc>
        <w:tc>
          <w:tcPr>
            <w:tcW w:w="279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部门财务负责人：衡云云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财政部门科室负责人：</w:t>
            </w:r>
          </w:p>
        </w:tc>
      </w:tr>
    </w:tbl>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9"/>
        <w:rPr>
          <w:rFonts w:hint="eastAsia" w:ascii="黑体" w:hAnsi="黑体" w:eastAsia="黑体"/>
          <w:color w:val="auto"/>
          <w:sz w:val="44"/>
          <w:szCs w:val="44"/>
          <w:highlight w:val="none"/>
        </w:rPr>
        <w:sectPr>
          <w:headerReference r:id="rId7" w:type="default"/>
          <w:footerReference r:id="rId8" w:type="default"/>
          <w:pgSz w:w="16838" w:h="11906" w:orient="landscape"/>
          <w:pgMar w:top="1800" w:right="1440" w:bottom="1800" w:left="1440" w:header="851" w:footer="992" w:gutter="0"/>
          <w:pgNumType w:fmt="decimal"/>
          <w:cols w:space="425" w:num="1"/>
          <w:titlePg/>
          <w:docGrid w:type="lines" w:linePitch="312" w:charSpace="0"/>
        </w:sectPr>
      </w:pPr>
    </w:p>
    <w:p>
      <w:pPr>
        <w:spacing w:line="600" w:lineRule="exact"/>
        <w:jc w:val="center"/>
        <w:outlineLvl w:val="0"/>
        <w:rPr>
          <w:rFonts w:hint="eastAsia" w:ascii="仿宋" w:hAnsi="仿宋" w:eastAsia="仿宋"/>
          <w:b w:val="0"/>
          <w:color w:val="auto"/>
          <w:highlight w:val="none"/>
        </w:rPr>
      </w:pPr>
      <w:bookmarkStart w:id="116" w:name="_Toc1119673074_WPSOffice_Level1"/>
      <w:bookmarkStart w:id="117" w:name="_Toc20937"/>
      <w:r>
        <w:rPr>
          <w:rFonts w:hint="eastAsia" w:ascii="黑体" w:hAnsi="黑体" w:eastAsia="黑体"/>
          <w:color w:val="auto"/>
          <w:sz w:val="44"/>
          <w:szCs w:val="44"/>
          <w:highlight w:val="none"/>
        </w:rPr>
        <w:t>第</w:t>
      </w:r>
      <w:r>
        <w:rPr>
          <w:rStyle w:val="17"/>
          <w:rFonts w:hint="eastAsia" w:ascii="黑体" w:hAnsi="黑体" w:eastAsia="黑体"/>
          <w:b w:val="0"/>
          <w:color w:val="auto"/>
          <w:highlight w:val="none"/>
        </w:rPr>
        <w:t>五部分 附表</w:t>
      </w:r>
      <w:bookmarkEnd w:id="84"/>
      <w:bookmarkEnd w:id="91"/>
      <w:bookmarkEnd w:id="116"/>
      <w:bookmarkEnd w:id="117"/>
      <w:bookmarkStart w:id="118" w:name="_Toc15396619"/>
    </w:p>
    <w:p>
      <w:pPr>
        <w:pStyle w:val="4"/>
        <w:rPr>
          <w:rFonts w:ascii="仿宋" w:hAnsi="仿宋" w:eastAsia="仿宋"/>
          <w:color w:val="auto"/>
          <w:highlight w:val="none"/>
        </w:rPr>
      </w:pPr>
      <w:bookmarkStart w:id="119" w:name="_Toc411097830_WPSOffice_Level2"/>
      <w:bookmarkStart w:id="120" w:name="_Toc23615"/>
      <w:r>
        <w:rPr>
          <w:rFonts w:hint="eastAsia" w:ascii="仿宋" w:hAnsi="仿宋" w:eastAsia="仿宋"/>
          <w:b w:val="0"/>
          <w:color w:val="auto"/>
          <w:highlight w:val="none"/>
        </w:rPr>
        <w:t>一、收</w:t>
      </w:r>
      <w:r>
        <w:rPr>
          <w:rStyle w:val="18"/>
          <w:rFonts w:hint="eastAsia" w:ascii="仿宋" w:hAnsi="仿宋" w:eastAsia="仿宋"/>
          <w:b w:val="0"/>
          <w:bCs w:val="0"/>
          <w:color w:val="auto"/>
          <w:highlight w:val="none"/>
        </w:rPr>
        <w:t>入支出决算总表</w:t>
      </w:r>
      <w:bookmarkEnd w:id="118"/>
      <w:bookmarkEnd w:id="119"/>
      <w:bookmarkEnd w:id="120"/>
    </w:p>
    <w:p>
      <w:pPr>
        <w:pStyle w:val="4"/>
        <w:rPr>
          <w:rFonts w:ascii="仿宋" w:hAnsi="仿宋" w:eastAsia="仿宋"/>
          <w:color w:val="auto"/>
          <w:highlight w:val="none"/>
        </w:rPr>
      </w:pPr>
      <w:bookmarkStart w:id="121" w:name="_Toc1116043503_WPSOffice_Level2"/>
      <w:bookmarkStart w:id="122" w:name="_Toc15396620"/>
      <w:bookmarkStart w:id="123" w:name="_Toc19983"/>
      <w:r>
        <w:rPr>
          <w:rFonts w:hint="eastAsia" w:ascii="仿宋" w:hAnsi="仿宋" w:eastAsia="仿宋"/>
          <w:b w:val="0"/>
          <w:color w:val="auto"/>
          <w:highlight w:val="none"/>
        </w:rPr>
        <w:t>二、收</w:t>
      </w:r>
      <w:r>
        <w:rPr>
          <w:rStyle w:val="18"/>
          <w:rFonts w:hint="eastAsia" w:ascii="仿宋" w:hAnsi="仿宋" w:eastAsia="仿宋"/>
          <w:b w:val="0"/>
          <w:bCs w:val="0"/>
          <w:color w:val="auto"/>
          <w:highlight w:val="none"/>
        </w:rPr>
        <w:t>入决算表</w:t>
      </w:r>
      <w:bookmarkEnd w:id="121"/>
      <w:bookmarkEnd w:id="122"/>
      <w:bookmarkEnd w:id="123"/>
    </w:p>
    <w:p>
      <w:pPr>
        <w:pStyle w:val="4"/>
        <w:rPr>
          <w:rFonts w:ascii="仿宋" w:hAnsi="仿宋" w:eastAsia="仿宋"/>
          <w:color w:val="auto"/>
          <w:highlight w:val="none"/>
        </w:rPr>
      </w:pPr>
      <w:bookmarkStart w:id="124" w:name="_Toc3323"/>
      <w:bookmarkStart w:id="125" w:name="_Toc437743284_WPSOffice_Level2"/>
      <w:bookmarkStart w:id="126" w:name="_Toc15396621"/>
      <w:r>
        <w:rPr>
          <w:rStyle w:val="18"/>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8"/>
          <w:rFonts w:hint="eastAsia" w:ascii="仿宋" w:hAnsi="仿宋" w:eastAsia="仿宋"/>
          <w:b w:val="0"/>
          <w:bCs w:val="0"/>
          <w:color w:val="auto"/>
          <w:highlight w:val="none"/>
        </w:rPr>
        <w:t>出决算表</w:t>
      </w:r>
      <w:bookmarkEnd w:id="124"/>
      <w:bookmarkEnd w:id="125"/>
      <w:bookmarkEnd w:id="126"/>
    </w:p>
    <w:p>
      <w:pPr>
        <w:pStyle w:val="4"/>
        <w:rPr>
          <w:rFonts w:ascii="仿宋" w:hAnsi="仿宋" w:eastAsia="仿宋"/>
          <w:b w:val="0"/>
          <w:color w:val="auto"/>
          <w:highlight w:val="none"/>
        </w:rPr>
      </w:pPr>
      <w:bookmarkStart w:id="127" w:name="_Toc31569"/>
      <w:bookmarkStart w:id="128" w:name="_Toc15396622"/>
      <w:bookmarkStart w:id="129" w:name="_Toc1866251058_WPSOffice_Level2"/>
      <w:r>
        <w:rPr>
          <w:rStyle w:val="18"/>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8"/>
          <w:rFonts w:hint="eastAsia" w:ascii="仿宋" w:hAnsi="仿宋" w:eastAsia="仿宋"/>
          <w:b w:val="0"/>
          <w:bCs w:val="0"/>
          <w:color w:val="auto"/>
          <w:highlight w:val="none"/>
        </w:rPr>
        <w:t>政拨款收入支出决算总表</w:t>
      </w:r>
      <w:bookmarkEnd w:id="127"/>
      <w:bookmarkEnd w:id="128"/>
      <w:bookmarkEnd w:id="129"/>
    </w:p>
    <w:p>
      <w:pPr>
        <w:pStyle w:val="4"/>
        <w:rPr>
          <w:rStyle w:val="18"/>
          <w:rFonts w:ascii="仿宋" w:hAnsi="仿宋" w:eastAsia="仿宋"/>
          <w:b w:val="0"/>
          <w:bCs w:val="0"/>
          <w:color w:val="auto"/>
          <w:highlight w:val="none"/>
        </w:rPr>
      </w:pPr>
      <w:bookmarkStart w:id="130" w:name="_Toc15396623"/>
      <w:bookmarkStart w:id="131" w:name="_Toc976771073_WPSOffice_Level2"/>
      <w:bookmarkStart w:id="132" w:name="_Toc13934"/>
      <w:r>
        <w:rPr>
          <w:rStyle w:val="18"/>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8"/>
          <w:rFonts w:hint="eastAsia" w:ascii="仿宋" w:hAnsi="仿宋" w:eastAsia="仿宋"/>
          <w:b w:val="0"/>
          <w:bCs w:val="0"/>
          <w:color w:val="auto"/>
          <w:highlight w:val="none"/>
        </w:rPr>
        <w:t>政拨款支出决算明细表</w:t>
      </w:r>
      <w:bookmarkEnd w:id="130"/>
      <w:bookmarkEnd w:id="131"/>
      <w:bookmarkEnd w:id="132"/>
      <w:bookmarkStart w:id="133" w:name="_Toc15396624"/>
    </w:p>
    <w:p>
      <w:pPr>
        <w:pStyle w:val="4"/>
        <w:rPr>
          <w:rFonts w:ascii="仿宋" w:hAnsi="仿宋" w:eastAsia="仿宋"/>
          <w:color w:val="auto"/>
          <w:highlight w:val="none"/>
        </w:rPr>
      </w:pPr>
      <w:bookmarkStart w:id="134" w:name="_Toc1887486274_WPSOffice_Level2"/>
      <w:bookmarkStart w:id="135" w:name="_Toc7274"/>
      <w:r>
        <w:rPr>
          <w:rStyle w:val="18"/>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般公共预算财政拨款支出决算表</w:t>
      </w:r>
      <w:bookmarkEnd w:id="133"/>
      <w:bookmarkEnd w:id="134"/>
      <w:bookmarkEnd w:id="135"/>
    </w:p>
    <w:p>
      <w:pPr>
        <w:pStyle w:val="4"/>
        <w:rPr>
          <w:rFonts w:ascii="仿宋" w:hAnsi="仿宋" w:eastAsia="仿宋"/>
          <w:color w:val="auto"/>
          <w:highlight w:val="none"/>
        </w:rPr>
      </w:pPr>
      <w:bookmarkStart w:id="136" w:name="_Toc15396625"/>
      <w:bookmarkStart w:id="137" w:name="_Toc26475"/>
      <w:bookmarkStart w:id="138" w:name="_Toc1131922590_WPSOffice_Level2"/>
      <w:r>
        <w:rPr>
          <w:rStyle w:val="18"/>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般公共预算财政拨款支出决算明细表</w:t>
      </w:r>
      <w:bookmarkEnd w:id="136"/>
      <w:bookmarkEnd w:id="137"/>
      <w:bookmarkEnd w:id="138"/>
    </w:p>
    <w:p>
      <w:pPr>
        <w:pStyle w:val="4"/>
        <w:rPr>
          <w:rFonts w:ascii="仿宋" w:hAnsi="仿宋" w:eastAsia="仿宋"/>
          <w:color w:val="auto"/>
          <w:highlight w:val="none"/>
        </w:rPr>
      </w:pPr>
      <w:bookmarkStart w:id="139" w:name="_Toc1000033675_WPSOffice_Level2"/>
      <w:bookmarkStart w:id="140" w:name="_Toc15396626"/>
      <w:bookmarkStart w:id="141" w:name="_Toc1724"/>
      <w:r>
        <w:rPr>
          <w:rStyle w:val="18"/>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般公共预算财政拨款基本支出决算表</w:t>
      </w:r>
      <w:bookmarkEnd w:id="139"/>
      <w:bookmarkEnd w:id="140"/>
      <w:bookmarkEnd w:id="141"/>
    </w:p>
    <w:p>
      <w:pPr>
        <w:pStyle w:val="4"/>
        <w:rPr>
          <w:rFonts w:ascii="仿宋" w:hAnsi="仿宋" w:eastAsia="仿宋"/>
          <w:color w:val="auto"/>
          <w:highlight w:val="none"/>
        </w:rPr>
      </w:pPr>
      <w:bookmarkStart w:id="142" w:name="_Toc15396627"/>
      <w:bookmarkStart w:id="143" w:name="_Toc297875967_WPSOffice_Level2"/>
      <w:bookmarkStart w:id="144" w:name="_Toc573"/>
      <w:r>
        <w:rPr>
          <w:rStyle w:val="18"/>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般公共预算财政拨款项目支出决算表</w:t>
      </w:r>
      <w:bookmarkEnd w:id="142"/>
      <w:bookmarkEnd w:id="143"/>
      <w:bookmarkEnd w:id="144"/>
    </w:p>
    <w:p>
      <w:pPr>
        <w:pStyle w:val="4"/>
        <w:rPr>
          <w:rFonts w:ascii="仿宋" w:hAnsi="仿宋" w:eastAsia="仿宋"/>
          <w:color w:val="auto"/>
          <w:highlight w:val="none"/>
        </w:rPr>
      </w:pPr>
      <w:bookmarkStart w:id="145" w:name="_Toc15396628"/>
      <w:bookmarkStart w:id="146" w:name="_Toc13325"/>
      <w:bookmarkStart w:id="147" w:name="_Toc1924118051_WPSOffice_Level2"/>
      <w:r>
        <w:rPr>
          <w:rStyle w:val="18"/>
          <w:rFonts w:hint="eastAsia" w:ascii="仿宋" w:hAnsi="仿宋" w:eastAsia="仿宋"/>
          <w:b w:val="0"/>
          <w:bCs w:val="0"/>
          <w:color w:val="auto"/>
          <w:highlight w:val="none"/>
        </w:rPr>
        <w:t>十、</w:t>
      </w:r>
      <w:bookmarkEnd w:id="145"/>
      <w:r>
        <w:rPr>
          <w:rFonts w:hint="eastAsia" w:ascii="仿宋" w:hAnsi="仿宋" w:eastAsia="仿宋"/>
          <w:b w:val="0"/>
          <w:color w:val="auto"/>
          <w:highlight w:val="none"/>
        </w:rPr>
        <w:t>政</w:t>
      </w:r>
      <w:r>
        <w:rPr>
          <w:rStyle w:val="18"/>
          <w:rFonts w:hint="eastAsia" w:ascii="仿宋" w:hAnsi="仿宋" w:eastAsia="仿宋"/>
          <w:b w:val="0"/>
          <w:bCs w:val="0"/>
          <w:color w:val="auto"/>
          <w:highlight w:val="none"/>
        </w:rPr>
        <w:t>府性基金预算财政拨款收入支出决算表</w:t>
      </w:r>
      <w:bookmarkEnd w:id="146"/>
      <w:bookmarkEnd w:id="147"/>
    </w:p>
    <w:p>
      <w:pPr>
        <w:pStyle w:val="4"/>
        <w:rPr>
          <w:rFonts w:ascii="仿宋" w:hAnsi="仿宋" w:eastAsia="仿宋"/>
          <w:color w:val="auto"/>
          <w:highlight w:val="none"/>
        </w:rPr>
      </w:pPr>
      <w:bookmarkStart w:id="148" w:name="_Toc15396629"/>
      <w:bookmarkStart w:id="149" w:name="_Toc458818399_WPSOffice_Level2"/>
      <w:bookmarkStart w:id="150" w:name="_Toc24470"/>
      <w:r>
        <w:rPr>
          <w:rStyle w:val="18"/>
          <w:rFonts w:hint="eastAsia" w:ascii="仿宋" w:hAnsi="仿宋" w:eastAsia="仿宋"/>
          <w:b w:val="0"/>
          <w:bCs w:val="0"/>
          <w:color w:val="auto"/>
          <w:highlight w:val="none"/>
        </w:rPr>
        <w:t>十一、</w:t>
      </w:r>
      <w:bookmarkEnd w:id="148"/>
      <w:r>
        <w:rPr>
          <w:rFonts w:hint="eastAsia" w:ascii="仿宋" w:hAnsi="仿宋" w:eastAsia="仿宋"/>
          <w:b w:val="0"/>
          <w:color w:val="auto"/>
          <w:highlight w:val="none"/>
        </w:rPr>
        <w:t>国</w:t>
      </w:r>
      <w:r>
        <w:rPr>
          <w:rStyle w:val="18"/>
          <w:rFonts w:hint="eastAsia" w:ascii="仿宋" w:hAnsi="仿宋" w:eastAsia="仿宋"/>
          <w:b w:val="0"/>
          <w:bCs w:val="0"/>
          <w:color w:val="auto"/>
          <w:highlight w:val="none"/>
        </w:rPr>
        <w:t>有资本经营预算</w:t>
      </w:r>
      <w:r>
        <w:rPr>
          <w:rStyle w:val="18"/>
          <w:rFonts w:hint="eastAsia" w:ascii="仿宋" w:hAnsi="仿宋" w:eastAsia="仿宋"/>
          <w:b w:val="0"/>
          <w:bCs w:val="0"/>
          <w:color w:val="auto"/>
          <w:highlight w:val="none"/>
          <w:lang w:eastAsia="zh-CN"/>
        </w:rPr>
        <w:t>财政拨款收入</w:t>
      </w:r>
      <w:r>
        <w:rPr>
          <w:rStyle w:val="18"/>
          <w:rFonts w:hint="eastAsia" w:ascii="仿宋" w:hAnsi="仿宋" w:eastAsia="仿宋"/>
          <w:b w:val="0"/>
          <w:bCs w:val="0"/>
          <w:color w:val="auto"/>
          <w:highlight w:val="none"/>
        </w:rPr>
        <w:t>支出决算表</w:t>
      </w:r>
      <w:bookmarkEnd w:id="149"/>
      <w:bookmarkEnd w:id="150"/>
    </w:p>
    <w:p>
      <w:pPr>
        <w:pStyle w:val="4"/>
        <w:rPr>
          <w:rFonts w:ascii="仿宋" w:hAnsi="仿宋" w:eastAsia="仿宋"/>
          <w:color w:val="auto"/>
          <w:highlight w:val="none"/>
        </w:rPr>
      </w:pPr>
      <w:bookmarkStart w:id="151" w:name="_Toc15396630"/>
      <w:bookmarkStart w:id="152" w:name="_Toc20546"/>
      <w:bookmarkStart w:id="153" w:name="_Toc1961112324_WPSOffice_Level2"/>
      <w:r>
        <w:rPr>
          <w:rStyle w:val="18"/>
          <w:rFonts w:hint="eastAsia" w:ascii="仿宋" w:hAnsi="仿宋" w:eastAsia="仿宋"/>
          <w:b w:val="0"/>
          <w:bCs w:val="0"/>
          <w:color w:val="auto"/>
          <w:highlight w:val="none"/>
        </w:rPr>
        <w:t>十二、</w:t>
      </w:r>
      <w:bookmarkEnd w:id="151"/>
      <w:r>
        <w:rPr>
          <w:rStyle w:val="18"/>
          <w:rFonts w:hint="eastAsia" w:ascii="仿宋" w:hAnsi="仿宋" w:eastAsia="仿宋"/>
          <w:b w:val="0"/>
          <w:bCs w:val="0"/>
          <w:color w:val="auto"/>
          <w:highlight w:val="none"/>
          <w:lang w:eastAsia="zh-CN"/>
        </w:rPr>
        <w:t>国有资本经营预算财政拨款支出决算表</w:t>
      </w:r>
      <w:bookmarkEnd w:id="152"/>
      <w:bookmarkEnd w:id="153"/>
    </w:p>
    <w:p>
      <w:pPr>
        <w:pStyle w:val="4"/>
        <w:rPr>
          <w:rFonts w:hint="eastAsia" w:eastAsia="仿宋"/>
          <w:color w:val="auto"/>
          <w:highlight w:val="none"/>
          <w:lang w:eastAsia="zh-CN"/>
        </w:rPr>
      </w:pPr>
      <w:bookmarkStart w:id="154" w:name="_Toc15396631"/>
      <w:bookmarkStart w:id="155" w:name="_Toc16853"/>
      <w:bookmarkStart w:id="156" w:name="_Toc896050036_WPSOffice_Level2"/>
      <w:r>
        <w:rPr>
          <w:rStyle w:val="18"/>
          <w:rFonts w:hint="eastAsia" w:ascii="仿宋" w:hAnsi="仿宋" w:eastAsia="仿宋"/>
          <w:b w:val="0"/>
          <w:bCs w:val="0"/>
          <w:color w:val="auto"/>
          <w:highlight w:val="none"/>
        </w:rPr>
        <w:t>十三、</w:t>
      </w:r>
      <w:bookmarkEnd w:id="154"/>
      <w:r>
        <w:rPr>
          <w:rStyle w:val="18"/>
          <w:rFonts w:hint="eastAsia" w:ascii="仿宋" w:hAnsi="仿宋" w:eastAsia="仿宋"/>
          <w:b w:val="0"/>
          <w:bCs w:val="0"/>
          <w:color w:val="auto"/>
          <w:highlight w:val="none"/>
          <w:lang w:eastAsia="zh-CN"/>
        </w:rPr>
        <w:t>财政拨款“三公”经费支出决算表</w:t>
      </w:r>
      <w:bookmarkEnd w:id="155"/>
      <w:bookmarkEnd w:id="156"/>
    </w:p>
    <w:sectPr>
      <w:footerReference r:id="rId10" w:type="first"/>
      <w:footerReference r:id="rId9" w:type="default"/>
      <w:pgSz w:w="11906" w:h="16838"/>
      <w:pgMar w:top="1440" w:right="1800" w:bottom="1440" w:left="1800"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
    <w:altName w:val="Mangal"/>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simhei">
    <w:altName w:val="Mangal"/>
    <w:panose1 w:val="00000000000000000000"/>
    <w:charset w:val="00"/>
    <w:family w:val="auto"/>
    <w:pitch w:val="default"/>
    <w:sig w:usb0="00000000" w:usb1="00000000" w:usb2="00000000" w:usb3="00000000" w:csb0="00000000" w:csb1="00000000"/>
  </w:font>
  <w:font w:name="微软雅黑">
    <w:altName w:val="方正黑体_GBK"/>
    <w:panose1 w:val="00000000000000000000"/>
    <w:charset w:val="00"/>
    <w:family w:val="auto"/>
    <w:pitch w:val="default"/>
    <w:sig w:usb0="00000000" w:usb1="00000000" w:usb2="00000000" w:usb3="00000000" w:csb0="00000000" w:csb1="00000000"/>
  </w:font>
  <w:font w:name="Lucida Sans">
    <w:panose1 w:val="020B0602030504020204"/>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Mangal">
    <w:panose1 w:val="00000400000000000000"/>
    <w:charset w:val="00"/>
    <w:family w:val="auto"/>
    <w:pitch w:val="default"/>
    <w:sig w:usb0="00008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iMuAO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DiMuAOGwIAACkEAAAOAAAAAAAAAAEAIAAAADUBAABkcnMvZTJvRG9jLnhtbFBLBQYA&#10;AAAABgAGAFkBAADC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20</w:t>
                    </w:r>
                    <w:r>
                      <w:fldChar w:fldCharType="end"/>
                    </w:r>
                  </w:p>
                </w:txbxContent>
              </v:textbox>
            </v:shape>
          </w:pict>
        </mc:Fallback>
      </mc:AlternateContent>
    </w:r>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lear" w:pos="4153"/>
      </w:tabs>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K8tgzBwCAAApBAAADgAAAAAAAAABACAAAAA1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
                          </w:sdtPr>
                          <w:sdtContent>
                            <w:p>
                              <w:pPr>
                                <w:pStyle w:val="9"/>
                                <w:jc w:val="center"/>
                              </w:pPr>
                              <w:r>
                                <w:fldChar w:fldCharType="begin"/>
                              </w:r>
                              <w:r>
                                <w:instrText xml:space="preserve">PAGE   \* MERGEFORMAT</w:instrText>
                              </w:r>
                              <w:r>
                                <w:fldChar w:fldCharType="separate"/>
                              </w:r>
                              <w:r>
                                <w:rPr>
                                  <w:lang w:val="zh-CN"/>
                                </w:rPr>
                                <w:t>8</w:t>
                              </w:r>
                              <w:r>
                                <w:fldChar w:fldCharType="end"/>
                              </w:r>
                            </w:p>
                          </w:sdtContent>
                        </w:sdt>
                        <w:p>
                          <w:pPr>
                            <w:pStyle w:val="2"/>
                          </w:pP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FsIeAxwCAAArBAAADgAAAAAAAAABACAAAAA1AQAAZHJzL2Uyb0RvYy54bWxQSwUG&#10;AAAAAAYABgBZAQAAwwUAAAAA&#10;">
              <v:fill on="f" focussize="0,0"/>
              <v:stroke on="f" weight="0.5pt"/>
              <v:imagedata o:title=""/>
              <o:lock v:ext="edit" aspectratio="f"/>
              <v:textbox inset="0mm,0mm,0mm,0mm" style="mso-fit-shape-to-text:t;">
                <w:txbxContent>
                  <w:sdt>
                    <w:sdtPr>
                      <w:id w:val="-1"/>
                    </w:sdtPr>
                    <w:sdtContent>
                      <w:p>
                        <w:pPr>
                          <w:pStyle w:val="9"/>
                          <w:jc w:val="center"/>
                        </w:pPr>
                        <w:r>
                          <w:fldChar w:fldCharType="begin"/>
                        </w:r>
                        <w:r>
                          <w:instrText xml:space="preserve">PAGE   \* MERGEFORMAT</w:instrText>
                        </w:r>
                        <w:r>
                          <w:fldChar w:fldCharType="separate"/>
                        </w:r>
                        <w:r>
                          <w:rPr>
                            <w:lang w:val="zh-CN"/>
                          </w:rPr>
                          <w:t>8</w:t>
                        </w:r>
                        <w:r>
                          <w:fldChar w:fldCharType="end"/>
                        </w:r>
                      </w:p>
                    </w:sdtContent>
                  </w:sdt>
                  <w:p>
                    <w:pPr>
                      <w:pStyle w:val="2"/>
                    </w:pPr>
                  </w:p>
                </w:txbxContent>
              </v:textbox>
            </v:shape>
          </w:pict>
        </mc:Fallback>
      </mc:AlternateContent>
    </w:r>
  </w:p>
  <w:p>
    <w:pPr>
      <w:pStyle w:val="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329994910"/>
                          </w:sdtPr>
                          <w:sdtContent>
                            <w:p>
                              <w:pPr>
                                <w:pStyle w:val="9"/>
                                <w:jc w:val="center"/>
                              </w:pPr>
                              <w:r>
                                <w:fldChar w:fldCharType="begin"/>
                              </w:r>
                              <w:r>
                                <w:instrText xml:space="preserve">PAGE   \* MERGEFORMAT</w:instrText>
                              </w:r>
                              <w:r>
                                <w:fldChar w:fldCharType="separate"/>
                              </w:r>
                              <w:r>
                                <w:rPr>
                                  <w:lang w:val="zh-CN"/>
                                </w:rPr>
                                <w:t>8</w:t>
                              </w:r>
                              <w:r>
                                <w:fldChar w:fldCharType="end"/>
                              </w:r>
                            </w:p>
                          </w:sdtContent>
                        </w:sdt>
                        <w:p>
                          <w:pPr>
                            <w:pStyle w:val="2"/>
                          </w:pP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GQA+L8aAgAAKwQAAA4AAAAAAAAAAQAgAAAANQEAAGRycy9lMm9Eb2MueG1sUEsFBgAA&#10;AAAGAAYAWQEAAMEFAAAAAA==&#10;">
              <v:fill on="f" focussize="0,0"/>
              <v:stroke on="f" weight="0.5pt"/>
              <v:imagedata o:title=""/>
              <o:lock v:ext="edit" aspectratio="f"/>
              <v:textbox inset="0mm,0mm,0mm,0mm" style="mso-fit-shape-to-text:t;">
                <w:txbxContent>
                  <w:sdt>
                    <w:sdtPr>
                      <w:id w:val="329994910"/>
                    </w:sdtPr>
                    <w:sdtContent>
                      <w:p>
                        <w:pPr>
                          <w:pStyle w:val="9"/>
                          <w:jc w:val="center"/>
                        </w:pPr>
                        <w:r>
                          <w:fldChar w:fldCharType="begin"/>
                        </w:r>
                        <w:r>
                          <w:instrText xml:space="preserve">PAGE   \* MERGEFORMAT</w:instrText>
                        </w:r>
                        <w:r>
                          <w:fldChar w:fldCharType="separate"/>
                        </w:r>
                        <w:r>
                          <w:rPr>
                            <w:lang w:val="zh-CN"/>
                          </w:rPr>
                          <w:t>8</w:t>
                        </w:r>
                        <w:r>
                          <w:fldChar w:fldCharType="end"/>
                        </w:r>
                      </w:p>
                    </w:sdtContent>
                  </w:sdt>
                  <w:p>
                    <w:pPr>
                      <w:pStyle w:val="2"/>
                    </w:pPr>
                  </w:p>
                </w:txbxContent>
              </v:textbox>
            </v:shape>
          </w:pict>
        </mc:Fallback>
      </mc:AlternateContent>
    </w:r>
  </w:p>
  <w:p>
    <w:pPr>
      <w:pStyle w:val="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zQKKhHAIAACs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0CioRwCAAArBAAADgAAAAAAAAABACAAAAA1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3FE2FAB"/>
    <w:rsid w:val="053A62B5"/>
    <w:rsid w:val="0A2032A3"/>
    <w:rsid w:val="0B8A37D8"/>
    <w:rsid w:val="10C055FF"/>
    <w:rsid w:val="118107EC"/>
    <w:rsid w:val="11DD6519"/>
    <w:rsid w:val="16BB723D"/>
    <w:rsid w:val="18015F3F"/>
    <w:rsid w:val="1BE8440E"/>
    <w:rsid w:val="1D155CEE"/>
    <w:rsid w:val="20F57F95"/>
    <w:rsid w:val="240371BF"/>
    <w:rsid w:val="24FF8BC7"/>
    <w:rsid w:val="25711CC6"/>
    <w:rsid w:val="25C741E6"/>
    <w:rsid w:val="27842671"/>
    <w:rsid w:val="29FD04D3"/>
    <w:rsid w:val="2ABE7A3E"/>
    <w:rsid w:val="2CA234A8"/>
    <w:rsid w:val="2EFA178C"/>
    <w:rsid w:val="2FBF3500"/>
    <w:rsid w:val="2FBFE382"/>
    <w:rsid w:val="30B46D73"/>
    <w:rsid w:val="319F7F4E"/>
    <w:rsid w:val="362D34B5"/>
    <w:rsid w:val="36BDD398"/>
    <w:rsid w:val="36F733A8"/>
    <w:rsid w:val="37EFE2C0"/>
    <w:rsid w:val="383D272C"/>
    <w:rsid w:val="39AE70AB"/>
    <w:rsid w:val="3BF4832F"/>
    <w:rsid w:val="3C0C0783"/>
    <w:rsid w:val="3D1C4EF2"/>
    <w:rsid w:val="3DDD2D9E"/>
    <w:rsid w:val="3F24613D"/>
    <w:rsid w:val="3F9F3A96"/>
    <w:rsid w:val="3FC32000"/>
    <w:rsid w:val="3FFD6540"/>
    <w:rsid w:val="3FFEBD0B"/>
    <w:rsid w:val="40470FDD"/>
    <w:rsid w:val="41085755"/>
    <w:rsid w:val="48BF60AB"/>
    <w:rsid w:val="493C27E9"/>
    <w:rsid w:val="496F39ED"/>
    <w:rsid w:val="49FF41D3"/>
    <w:rsid w:val="4BE068DB"/>
    <w:rsid w:val="4BF6002B"/>
    <w:rsid w:val="4ECE2238"/>
    <w:rsid w:val="51DB4B86"/>
    <w:rsid w:val="55333C3E"/>
    <w:rsid w:val="57F38BEC"/>
    <w:rsid w:val="5BFBED51"/>
    <w:rsid w:val="5C7CA3E5"/>
    <w:rsid w:val="5D57E75F"/>
    <w:rsid w:val="5FF314EE"/>
    <w:rsid w:val="5FF735CD"/>
    <w:rsid w:val="60FEF837"/>
    <w:rsid w:val="64CA39A1"/>
    <w:rsid w:val="69630ADE"/>
    <w:rsid w:val="6B4BAB63"/>
    <w:rsid w:val="6C4A05C8"/>
    <w:rsid w:val="6D3B1A89"/>
    <w:rsid w:val="6DEDF5B3"/>
    <w:rsid w:val="6DFEB756"/>
    <w:rsid w:val="6FEF26C1"/>
    <w:rsid w:val="71BF4EC2"/>
    <w:rsid w:val="72734D90"/>
    <w:rsid w:val="7412278C"/>
    <w:rsid w:val="76F9A58D"/>
    <w:rsid w:val="77BDA248"/>
    <w:rsid w:val="77BEDF12"/>
    <w:rsid w:val="77FF8F07"/>
    <w:rsid w:val="7904082E"/>
    <w:rsid w:val="79E7B28D"/>
    <w:rsid w:val="7BFDF321"/>
    <w:rsid w:val="7CEE4DEA"/>
    <w:rsid w:val="7CF3A587"/>
    <w:rsid w:val="7CF7B4B6"/>
    <w:rsid w:val="7ED38120"/>
    <w:rsid w:val="7EFB19C5"/>
    <w:rsid w:val="7F3B2728"/>
    <w:rsid w:val="7F9F20EE"/>
    <w:rsid w:val="7FDE4C6C"/>
    <w:rsid w:val="7FFF64B9"/>
    <w:rsid w:val="7FFFA00C"/>
    <w:rsid w:val="8BCE067A"/>
    <w:rsid w:val="8BE733DE"/>
    <w:rsid w:val="9E3A10E2"/>
    <w:rsid w:val="A9FBC898"/>
    <w:rsid w:val="AD3F3E45"/>
    <w:rsid w:val="AFFF3BF7"/>
    <w:rsid w:val="B5FFFA42"/>
    <w:rsid w:val="B77FA0CE"/>
    <w:rsid w:val="BAF210BF"/>
    <w:rsid w:val="BCD61243"/>
    <w:rsid w:val="BE7F05F3"/>
    <w:rsid w:val="BEE66770"/>
    <w:rsid w:val="BFBF8EDF"/>
    <w:rsid w:val="BFEFF56A"/>
    <w:rsid w:val="C56FC656"/>
    <w:rsid w:val="DB4B2911"/>
    <w:rsid w:val="DBFFE756"/>
    <w:rsid w:val="DCF19386"/>
    <w:rsid w:val="DDF22F98"/>
    <w:rsid w:val="DEFCCEBC"/>
    <w:rsid w:val="DFEF2944"/>
    <w:rsid w:val="E3BDDAF2"/>
    <w:rsid w:val="EB7F91DE"/>
    <w:rsid w:val="EDD64E5B"/>
    <w:rsid w:val="EE9FD69A"/>
    <w:rsid w:val="EF7EE712"/>
    <w:rsid w:val="F1C578BD"/>
    <w:rsid w:val="F2E1F9D4"/>
    <w:rsid w:val="F3F93D48"/>
    <w:rsid w:val="F5BB096C"/>
    <w:rsid w:val="F7880819"/>
    <w:rsid w:val="F7F297D4"/>
    <w:rsid w:val="F7FBD863"/>
    <w:rsid w:val="F8EE70CA"/>
    <w:rsid w:val="F9759666"/>
    <w:rsid w:val="F9DD4871"/>
    <w:rsid w:val="FAB9FA7D"/>
    <w:rsid w:val="FAFFEEDB"/>
    <w:rsid w:val="FB5EDC41"/>
    <w:rsid w:val="FB6DB4F1"/>
    <w:rsid w:val="FBEB1D69"/>
    <w:rsid w:val="FBFE9113"/>
    <w:rsid w:val="FD2789BB"/>
    <w:rsid w:val="FD7FC09C"/>
    <w:rsid w:val="FD7FE617"/>
    <w:rsid w:val="FE7673B1"/>
    <w:rsid w:val="FE7FE11F"/>
    <w:rsid w:val="FEB8FC67"/>
    <w:rsid w:val="FEBB5F86"/>
    <w:rsid w:val="FEFB448C"/>
    <w:rsid w:val="FF9A62AB"/>
    <w:rsid w:val="FFBDB5D3"/>
    <w:rsid w:val="FFDAD7B9"/>
    <w:rsid w:val="FFDB219D"/>
    <w:rsid w:val="FFF6B6E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9"/>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6">
    <w:name w:val="Body Text"/>
    <w:basedOn w:val="1"/>
    <w:link w:val="25"/>
    <w:qFormat/>
    <w:uiPriority w:val="99"/>
    <w:pPr>
      <w:spacing w:beforeLines="30"/>
    </w:pPr>
    <w:rPr>
      <w:rFonts w:ascii="仿宋_GB2312" w:eastAsia="仿宋_GB2312"/>
      <w:kern w:val="0"/>
      <w:sz w:val="30"/>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29"/>
    <w:semiHidden/>
    <w:unhideWhenUsed/>
    <w:qFormat/>
    <w:uiPriority w:val="99"/>
    <w:rPr>
      <w:sz w:val="18"/>
      <w:szCs w:val="18"/>
    </w:rPr>
  </w:style>
  <w:style w:type="paragraph" w:styleId="9">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character" w:styleId="15">
    <w:name w:val="Strong"/>
    <w:basedOn w:val="14"/>
    <w:qFormat/>
    <w:uiPriority w:val="99"/>
    <w:rPr>
      <w:b/>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标题 1 Char"/>
    <w:basedOn w:val="14"/>
    <w:link w:val="3"/>
    <w:qFormat/>
    <w:uiPriority w:val="9"/>
    <w:rPr>
      <w:rFonts w:ascii="Times New Roman" w:hAnsi="Times New Roman"/>
      <w:b/>
      <w:bCs/>
      <w:kern w:val="44"/>
      <w:sz w:val="44"/>
      <w:szCs w:val="44"/>
    </w:rPr>
  </w:style>
  <w:style w:type="character" w:customStyle="1" w:styleId="18">
    <w:name w:val="标题 2 Char"/>
    <w:basedOn w:val="14"/>
    <w:link w:val="4"/>
    <w:qFormat/>
    <w:uiPriority w:val="9"/>
    <w:rPr>
      <w:rFonts w:asciiTheme="majorHAnsi" w:hAnsiTheme="majorHAnsi" w:eastAsiaTheme="majorEastAsia" w:cstheme="majorBidi"/>
      <w:b/>
      <w:bCs/>
      <w:kern w:val="2"/>
      <w:sz w:val="32"/>
      <w:szCs w:val="32"/>
    </w:rPr>
  </w:style>
  <w:style w:type="character" w:customStyle="1" w:styleId="19">
    <w:name w:val="标题 3 Char"/>
    <w:basedOn w:val="14"/>
    <w:link w:val="5"/>
    <w:qFormat/>
    <w:uiPriority w:val="9"/>
    <w:rPr>
      <w:rFonts w:ascii="Times New Roman" w:hAnsi="Times New Roman"/>
      <w:b/>
      <w:bCs/>
      <w:kern w:val="2"/>
      <w:sz w:val="32"/>
      <w:szCs w:val="32"/>
    </w:rPr>
  </w:style>
  <w:style w:type="character" w:customStyle="1" w:styleId="20">
    <w:name w:val="Header Char"/>
    <w:basedOn w:val="14"/>
    <w:semiHidden/>
    <w:qFormat/>
    <w:uiPriority w:val="99"/>
    <w:rPr>
      <w:rFonts w:ascii="Times New Roman" w:hAnsi="Times New Roman"/>
      <w:sz w:val="18"/>
      <w:szCs w:val="18"/>
    </w:rPr>
  </w:style>
  <w:style w:type="character" w:customStyle="1" w:styleId="21">
    <w:name w:val="页眉 Char"/>
    <w:link w:val="10"/>
    <w:semiHidden/>
    <w:qFormat/>
    <w:locked/>
    <w:uiPriority w:val="99"/>
    <w:rPr>
      <w:sz w:val="18"/>
    </w:rPr>
  </w:style>
  <w:style w:type="character" w:customStyle="1" w:styleId="22">
    <w:name w:val="Footer Char"/>
    <w:basedOn w:val="14"/>
    <w:semiHidden/>
    <w:qFormat/>
    <w:uiPriority w:val="99"/>
    <w:rPr>
      <w:rFonts w:ascii="Times New Roman" w:hAnsi="Times New Roman"/>
      <w:sz w:val="18"/>
      <w:szCs w:val="18"/>
    </w:rPr>
  </w:style>
  <w:style w:type="character" w:customStyle="1" w:styleId="23">
    <w:name w:val="页脚 Char"/>
    <w:link w:val="9"/>
    <w:qFormat/>
    <w:locked/>
    <w:uiPriority w:val="99"/>
    <w:rPr>
      <w:sz w:val="18"/>
    </w:rPr>
  </w:style>
  <w:style w:type="character" w:customStyle="1" w:styleId="24">
    <w:name w:val="Body Text Char"/>
    <w:basedOn w:val="14"/>
    <w:semiHidden/>
    <w:qFormat/>
    <w:uiPriority w:val="99"/>
    <w:rPr>
      <w:rFonts w:ascii="Times New Roman" w:hAnsi="Times New Roman"/>
      <w:szCs w:val="24"/>
    </w:rPr>
  </w:style>
  <w:style w:type="character" w:customStyle="1" w:styleId="25">
    <w:name w:val="正文文本 Char"/>
    <w:link w:val="6"/>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paragraph" w:customStyle="1" w:styleId="28">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9">
    <w:name w:val="批注框文本 Char"/>
    <w:basedOn w:val="14"/>
    <w:link w:val="8"/>
    <w:semiHidden/>
    <w:qFormat/>
    <w:uiPriority w:val="99"/>
    <w:rPr>
      <w:rFonts w:ascii="Times New Roman" w:hAnsi="Times New Roman"/>
      <w:kern w:val="2"/>
      <w:sz w:val="18"/>
      <w:szCs w:val="18"/>
    </w:rPr>
  </w:style>
  <w:style w:type="paragraph" w:customStyle="1" w:styleId="30">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1">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32">
    <w:name w:val="WPSOffice手动目录 2"/>
    <w:qFormat/>
    <w:uiPriority w:val="0"/>
    <w:pPr>
      <w:ind w:leftChars="200"/>
    </w:pPr>
    <w:rPr>
      <w:rFonts w:ascii="Times New Roman" w:hAnsi="Times New Roman" w:eastAsia="宋体" w:cs="Times New Roman"/>
      <w:sz w:val="20"/>
      <w:szCs w:val="20"/>
    </w:rPr>
  </w:style>
  <w:style w:type="paragraph" w:customStyle="1" w:styleId="3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chart" Target="charts/chart7.xml"/><Relationship Id="rId17" Type="http://schemas.openxmlformats.org/officeDocument/2006/relationships/chart" Target="charts/chart6.xml"/><Relationship Id="rId16" Type="http://schemas.openxmlformats.org/officeDocument/2006/relationships/chart" Target="charts/chart5.xml"/><Relationship Id="rId15" Type="http://schemas.openxmlformats.org/officeDocument/2006/relationships/chart" Target="charts/chart4.xml"/><Relationship Id="rId14" Type="http://schemas.openxmlformats.org/officeDocument/2006/relationships/chart" Target="charts/chart3.xml"/><Relationship Id="rId13" Type="http://schemas.openxmlformats.org/officeDocument/2006/relationships/chart" Target="charts/chart2.xml"/><Relationship Id="rId12" Type="http://schemas.openxmlformats.org/officeDocument/2006/relationships/chart" Target="charts/chart1.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24037;&#20316;&#31807;1"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24037;&#20316;&#31807;1"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24037;&#20316;&#31807;1"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24037;&#20316;&#31807;1"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24037;&#20316;&#31807;1"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24037;&#20316;&#31807;1"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24037;&#20316;&#31807;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收、支决算总计变动情况图</a:t>
            </a:r>
          </a:p>
        </c:rich>
      </c:tx>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[工作簿1]Sheet1!$A$3:$A$4</c:f>
              <c:strCache>
                <c:ptCount val="2"/>
                <c:pt idx="0">
                  <c:v>2022年度收、支总计</c:v>
                </c:pt>
                <c:pt idx="1">
                  <c:v>2021年度收、支总计</c:v>
                </c:pt>
              </c:strCache>
            </c:strRef>
          </c:cat>
          <c:val>
            <c:numRef>
              <c:f>[工作簿1]Sheet1!$B$3:$B$4</c:f>
              <c:numCache>
                <c:formatCode>General</c:formatCode>
                <c:ptCount val="2"/>
                <c:pt idx="0">
                  <c:v>2645.19</c:v>
                </c:pt>
                <c:pt idx="1">
                  <c:v>2935.61</c:v>
                </c:pt>
              </c:numCache>
            </c:numRef>
          </c:val>
        </c:ser>
        <c:dLbls>
          <c:showLegendKey val="false"/>
          <c:showVal val="true"/>
          <c:showCatName val="false"/>
          <c:showSerName val="false"/>
          <c:showPercent val="false"/>
          <c:showBubbleSize val="false"/>
        </c:dLbls>
        <c:gapWidth val="219"/>
        <c:overlap val="-27"/>
        <c:axId val="471753412"/>
        <c:axId val="459133498"/>
      </c:barChart>
      <c:catAx>
        <c:axId val="471753412"/>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59133498"/>
        <c:crosses val="autoZero"/>
        <c:auto val="true"/>
        <c:lblAlgn val="ctr"/>
        <c:lblOffset val="100"/>
        <c:noMultiLvlLbl val="false"/>
      </c:catAx>
      <c:valAx>
        <c:axId val="459133498"/>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471753412"/>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收入决算结构图</a:t>
            </a:r>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dLbl>
              <c:idx val="0"/>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99.86</a:t>
                    </a:r>
                    <a:r>
                      <a:t>%</a:t>
                    </a:r>
                  </a:p>
                </c:rich>
              </c:tx>
              <c:dLblPos val="inEnd"/>
              <c:showLegendKey val="false"/>
              <c:showVal val="true"/>
              <c:showCatName val="false"/>
              <c:showSerName val="false"/>
              <c:showPercent val="true"/>
              <c:showBubbleSize val="false"/>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0.14</a:t>
                    </a:r>
                    <a:r>
                      <a:t>%</a:t>
                    </a:r>
                  </a:p>
                </c:rich>
              </c:tx>
              <c:dLblPos val="inEnd"/>
              <c:showLegendKey val="false"/>
              <c:showVal val="true"/>
              <c:showCatName val="false"/>
              <c:showSerName val="false"/>
              <c:showPercent val="tru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false"/>
            <c:showVal val="tru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[工作簿1]Sheet1!$A$3:$A$4</c:f>
              <c:strCache>
                <c:ptCount val="2"/>
                <c:pt idx="0">
                  <c:v>一般公共预算财政拨款收入</c:v>
                </c:pt>
                <c:pt idx="1">
                  <c:v>其他收入</c:v>
                </c:pt>
              </c:strCache>
            </c:strRef>
          </c:cat>
          <c:val>
            <c:numRef>
              <c:f>[工作簿1]Sheet1!$B$3:$B$4</c:f>
              <c:numCache>
                <c:formatCode>General</c:formatCode>
                <c:ptCount val="2"/>
                <c:pt idx="0">
                  <c:v>2366.2</c:v>
                </c:pt>
                <c:pt idx="1">
                  <c:v>3.14</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支出决算结构图</a:t>
            </a:r>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dLbl>
              <c:idx val="0"/>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31.19%</a:t>
                    </a:r>
                    <a:endParaRPr lang="en-US" altLang="zh-CN"/>
                  </a:p>
                </c:rich>
              </c:tx>
              <c:dLblPos val="bestFit"/>
              <c:showLegendKey val="false"/>
              <c:showVal val="true"/>
              <c:showCatName val="false"/>
              <c:showSerName val="false"/>
              <c:showPercent val="false"/>
              <c:showBubbleSize val="false"/>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68.81%</a:t>
                    </a:r>
                    <a:endParaRPr lang="en-US" altLang="zh-CN"/>
                  </a:p>
                </c:rich>
              </c:tx>
              <c:dLblPos val="bestFit"/>
              <c:showLegendKey val="false"/>
              <c:showVal val="true"/>
              <c:showCatName val="false"/>
              <c:showSerName val="false"/>
              <c:showPercent val="fals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[工作簿1]Sheet1!$A$4:$A$5</c:f>
              <c:strCache>
                <c:ptCount val="2"/>
                <c:pt idx="0">
                  <c:v>基本支出</c:v>
                </c:pt>
                <c:pt idx="1">
                  <c:v>项目支出</c:v>
                </c:pt>
              </c:strCache>
            </c:strRef>
          </c:cat>
          <c:val>
            <c:numRef>
              <c:f>[工作簿1]Sheet1!$B$4:$B$5</c:f>
              <c:numCache>
                <c:formatCode>General</c:formatCode>
                <c:ptCount val="2"/>
                <c:pt idx="0">
                  <c:v>1749.85</c:v>
                </c:pt>
                <c:pt idx="1">
                  <c:v>793</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财政拨款收、支决算总计变动情况</a:t>
            </a:r>
          </a:p>
        </c:rich>
      </c:tx>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[工作簿1]Sheet1!$A$4:$A$5</c:f>
              <c:strCache>
                <c:ptCount val="2"/>
                <c:pt idx="0">
                  <c:v>2022年财政拨款收、支</c:v>
                </c:pt>
                <c:pt idx="1">
                  <c:v>2021年财政拨款收、支</c:v>
                </c:pt>
              </c:strCache>
            </c:strRef>
          </c:cat>
          <c:val>
            <c:numRef>
              <c:f>[工作簿1]Sheet1!$B$4:$B$5</c:f>
              <c:numCache>
                <c:formatCode>General</c:formatCode>
                <c:ptCount val="2"/>
                <c:pt idx="0">
                  <c:v>2580.72</c:v>
                </c:pt>
                <c:pt idx="1">
                  <c:v>2869.21</c:v>
                </c:pt>
              </c:numCache>
            </c:numRef>
          </c:val>
        </c:ser>
        <c:dLbls>
          <c:showLegendKey val="false"/>
          <c:showVal val="true"/>
          <c:showCatName val="false"/>
          <c:showSerName val="false"/>
          <c:showPercent val="false"/>
          <c:showBubbleSize val="false"/>
        </c:dLbls>
        <c:gapWidth val="219"/>
        <c:overlap val="-27"/>
        <c:axId val="746237817"/>
        <c:axId val="144699167"/>
      </c:barChart>
      <c:catAx>
        <c:axId val="746237817"/>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44699167"/>
        <c:crosses val="autoZero"/>
        <c:auto val="true"/>
        <c:lblAlgn val="ctr"/>
        <c:lblOffset val="100"/>
        <c:noMultiLvlLbl val="false"/>
      </c:catAx>
      <c:valAx>
        <c:axId val="144699167"/>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746237817"/>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一般公共预算财政拨款支出决算变动情况</a:t>
            </a:r>
          </a:p>
        </c:rich>
      </c:tx>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[工作簿1]Sheet1!$A$4:$A$5</c:f>
              <c:strCache>
                <c:ptCount val="2"/>
                <c:pt idx="0">
                  <c:v>2022年一般公共预算财政拨款支出</c:v>
                </c:pt>
                <c:pt idx="1">
                  <c:v>2021年一般公共预算财政拨款支出</c:v>
                </c:pt>
              </c:strCache>
            </c:strRef>
          </c:cat>
          <c:val>
            <c:numRef>
              <c:f>[工作簿1]Sheet1!$B$4:$B$5</c:f>
              <c:numCache>
                <c:formatCode>General</c:formatCode>
                <c:ptCount val="2"/>
                <c:pt idx="0">
                  <c:v>2523.14</c:v>
                </c:pt>
                <c:pt idx="1">
                  <c:v>2654.25</c:v>
                </c:pt>
              </c:numCache>
            </c:numRef>
          </c:val>
        </c:ser>
        <c:dLbls>
          <c:showLegendKey val="false"/>
          <c:showVal val="true"/>
          <c:showCatName val="false"/>
          <c:showSerName val="false"/>
          <c:showPercent val="false"/>
          <c:showBubbleSize val="false"/>
        </c:dLbls>
        <c:gapWidth val="219"/>
        <c:overlap val="-27"/>
        <c:axId val="558860571"/>
        <c:axId val="23711167"/>
      </c:barChart>
      <c:catAx>
        <c:axId val="558860571"/>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23711167"/>
        <c:crosses val="autoZero"/>
        <c:auto val="true"/>
        <c:lblAlgn val="ctr"/>
        <c:lblOffset val="100"/>
        <c:noMultiLvlLbl val="false"/>
      </c:catAx>
      <c:valAx>
        <c:axId val="23711167"/>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558860571"/>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一般公共预算财政拨款支出决算结构</a:t>
            </a:r>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Pt>
            <c:idx val="3"/>
            <c:bubble3D val="false"/>
            <c:spPr>
              <a:solidFill>
                <a:schemeClr val="accent4"/>
              </a:solidFill>
              <a:ln w="19050">
                <a:solidFill>
                  <a:schemeClr val="lt1"/>
                </a:solidFill>
              </a:ln>
              <a:effectLst/>
            </c:spPr>
          </c:dPt>
          <c:dPt>
            <c:idx val="4"/>
            <c:bubble3D val="false"/>
            <c:spPr>
              <a:solidFill>
                <a:schemeClr val="accent5"/>
              </a:solidFill>
              <a:ln w="19050">
                <a:solidFill>
                  <a:schemeClr val="lt1"/>
                </a:solidFill>
              </a:ln>
              <a:effectLst/>
            </c:spPr>
          </c:dPt>
          <c:dLbls>
            <c:dLbl>
              <c:idx val="0"/>
              <c:layout>
                <c:manualLayout>
                  <c:x val="-0.0601822795893526"/>
                  <c:y val="-0.164276144904438"/>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85.96</a:t>
                    </a:r>
                    <a:r>
                      <a:t>%</a:t>
                    </a:r>
                  </a:p>
                </c:rich>
              </c:tx>
              <c:dLblPos val="bestFit"/>
              <c:showLegendKey val="true"/>
              <c:showVal val="true"/>
              <c:showCatName val="false"/>
              <c:showSerName val="false"/>
              <c:showPercent val="true"/>
              <c:showBubbleSize val="false"/>
              <c:extLst>
                <c:ext xmlns:c15="http://schemas.microsoft.com/office/drawing/2012/chart" uri="{CE6537A1-D6FC-4f65-9D91-7224C49458BB}">
                  <c15:layout/>
                </c:ext>
              </c:extLst>
            </c:dLbl>
            <c:dLbl>
              <c:idx val="1"/>
              <c:layout>
                <c:manualLayout>
                  <c:x val="-0.00527163212555246"/>
                  <c:y val="0.0459697948725719"/>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5.47</a:t>
                    </a:r>
                    <a:r>
                      <a:t>%</a:t>
                    </a:r>
                  </a:p>
                </c:rich>
              </c:tx>
              <c:dLblPos val="bestFit"/>
              <c:showLegendKey val="true"/>
              <c:showVal val="true"/>
              <c:showCatName val="false"/>
              <c:showSerName val="false"/>
              <c:showPercent val="true"/>
              <c:showBubbleSize val="false"/>
              <c:extLst>
                <c:ext xmlns:c15="http://schemas.microsoft.com/office/drawing/2012/chart" uri="{CE6537A1-D6FC-4f65-9D91-7224C49458BB}">
                  <c15:layout/>
                </c:ext>
              </c:extLst>
            </c:dLbl>
            <c:dLbl>
              <c:idx val="2"/>
              <c:layout>
                <c:manualLayout>
                  <c:x val="-0.026649067823222"/>
                  <c:y val="0.0400113852294119"/>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2.04</a:t>
                    </a:r>
                    <a:r>
                      <a:t>%</a:t>
                    </a:r>
                  </a:p>
                </c:rich>
              </c:tx>
              <c:dLblPos val="bestFit"/>
              <c:showLegendKey val="true"/>
              <c:showVal val="true"/>
              <c:showCatName val="false"/>
              <c:showSerName val="false"/>
              <c:showPercent val="true"/>
              <c:showBubbleSize val="false"/>
              <c:extLst>
                <c:ext xmlns:c15="http://schemas.microsoft.com/office/drawing/2012/chart" uri="{CE6537A1-D6FC-4f65-9D91-7224C49458BB}">
                  <c15:layout/>
                </c:ext>
              </c:extLst>
            </c:dLbl>
            <c:dLbl>
              <c:idx val="3"/>
              <c:layout>
                <c:manualLayout>
                  <c:x val="-0.0519493142705505"/>
                  <c:y val="0.0117831419995186"/>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5.35</a:t>
                    </a:r>
                    <a:r>
                      <a:t>%</a:t>
                    </a:r>
                  </a:p>
                </c:rich>
              </c:tx>
              <c:dLblPos val="bestFit"/>
              <c:showLegendKey val="true"/>
              <c:showVal val="true"/>
              <c:showCatName val="false"/>
              <c:showSerName val="false"/>
              <c:showPercent val="true"/>
              <c:showBubbleSize val="false"/>
              <c:extLst>
                <c:ext xmlns:c15="http://schemas.microsoft.com/office/drawing/2012/chart" uri="{CE6537A1-D6FC-4f65-9D91-7224C49458BB}">
                  <c15:layout/>
                </c:ext>
              </c:extLst>
            </c:dLbl>
            <c:dLbl>
              <c:idx val="4"/>
              <c:layout>
                <c:manualLayout>
                  <c:x val="-0.0413542164672253"/>
                  <c:y val="-0.00940439351686522"/>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1.18</a:t>
                    </a:r>
                    <a:r>
                      <a:t>%</a:t>
                    </a:r>
                  </a:p>
                </c:rich>
              </c:tx>
              <c:dLblPos val="bestFit"/>
              <c:showLegendKey val="true"/>
              <c:showVal val="true"/>
              <c:showCatName val="false"/>
              <c:showSerName val="false"/>
              <c:showPercent val="tru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true"/>
            <c:showVal val="true"/>
            <c:showCatName val="false"/>
            <c:showSerName val="false"/>
            <c:showPercent val="true"/>
            <c:showBubbleSize val="false"/>
            <c:showLeaderLines val="false"/>
            <c:extLst>
              <c:ext xmlns:c15="http://schemas.microsoft.com/office/drawing/2012/chart" uri="{CE6537A1-D6FC-4f65-9D91-7224C49458BB}">
                <c15:layout/>
                <c15:showLeaderLines val="false"/>
                <c15:leaderLines>
                  <c:spPr>
                    <a:ln w="9525" cap="flat" cmpd="sng" algn="ctr">
                      <a:solidFill>
                        <a:schemeClr val="tx1">
                          <a:lumMod val="35000"/>
                          <a:lumOff val="65000"/>
                        </a:schemeClr>
                      </a:solidFill>
                      <a:round/>
                    </a:ln>
                    <a:effectLst/>
                  </c:spPr>
                </c15:leaderLines>
              </c:ext>
            </c:extLst>
          </c:dLbls>
          <c:cat>
            <c:strRef>
              <c:f>[工作簿1]Sheet1!$A$3:$A$7</c:f>
              <c:strCache>
                <c:ptCount val="5"/>
                <c:pt idx="0">
                  <c:v>一般公共服务支出</c:v>
                </c:pt>
                <c:pt idx="1">
                  <c:v>社会保障和就业支出</c:v>
                </c:pt>
                <c:pt idx="2">
                  <c:v>卫生健康支出</c:v>
                </c:pt>
                <c:pt idx="3">
                  <c:v>住房保障支出</c:v>
                </c:pt>
                <c:pt idx="4">
                  <c:v>其他支出</c:v>
                </c:pt>
              </c:strCache>
            </c:strRef>
          </c:cat>
          <c:val>
            <c:numRef>
              <c:f>[工作簿1]Sheet1!$B$3:$B$7</c:f>
              <c:numCache>
                <c:formatCode>General</c:formatCode>
                <c:ptCount val="5"/>
                <c:pt idx="0">
                  <c:v>2168.79</c:v>
                </c:pt>
                <c:pt idx="1">
                  <c:v>137.92</c:v>
                </c:pt>
                <c:pt idx="2">
                  <c:v>51.46</c:v>
                </c:pt>
                <c:pt idx="3">
                  <c:v>135.17</c:v>
                </c:pt>
                <c:pt idx="4">
                  <c:v>29.8</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“三公”经费财政拨款支出结构</a:t>
            </a:r>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Lbls>
            <c:dLbl>
              <c:idx val="0"/>
              <c:layout>
                <c:manualLayout>
                  <c:x val="0"/>
                  <c:y val="-0.00684931506849315"/>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0</a:t>
                    </a:r>
                    <a:r>
                      <a:t>%</a:t>
                    </a:r>
                  </a:p>
                </c:rich>
              </c:tx>
              <c:dLblPos val="bestFit"/>
              <c:showLegendKey val="true"/>
              <c:showVal val="true"/>
              <c:showCatName val="false"/>
              <c:showSerName val="false"/>
              <c:showPercent val="true"/>
              <c:showBubbleSize val="false"/>
              <c:extLst>
                <c:ext xmlns:c15="http://schemas.microsoft.com/office/drawing/2012/chart" uri="{CE6537A1-D6FC-4f65-9D91-7224C49458BB}">
                  <c15:layout/>
                </c:ext>
              </c:extLst>
            </c:dLbl>
            <c:dLbl>
              <c:idx val="1"/>
              <c:layout>
                <c:manualLayout>
                  <c:x val="0.025618118264675"/>
                  <c:y val="0.0205876061296816"/>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88.52</a:t>
                    </a:r>
                    <a:r>
                      <a:t>%</a:t>
                    </a:r>
                  </a:p>
                </c:rich>
              </c:tx>
              <c:dLblPos val="bestFit"/>
              <c:showLegendKey val="true"/>
              <c:showVal val="true"/>
              <c:showCatName val="false"/>
              <c:showSerName val="false"/>
              <c:showPercent val="true"/>
              <c:showBubbleSize val="false"/>
              <c:extLst>
                <c:ext xmlns:c15="http://schemas.microsoft.com/office/drawing/2012/chart" uri="{CE6537A1-D6FC-4f65-9D91-7224C49458BB}">
                  <c15:layout/>
                </c:ext>
              </c:extLst>
            </c:dLbl>
            <c:dLbl>
              <c:idx val="2"/>
              <c:layout>
                <c:manualLayout>
                  <c:x val="-0.0840435609611638"/>
                  <c:y val="0.0183849967082168"/>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11.48</a:t>
                    </a:r>
                    <a:r>
                      <a:t>%</a:t>
                    </a:r>
                  </a:p>
                </c:rich>
              </c:tx>
              <c:dLblPos val="bestFit"/>
              <c:showLegendKey val="true"/>
              <c:showVal val="true"/>
              <c:showCatName val="false"/>
              <c:showSerName val="false"/>
              <c:showPercent val="tru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true"/>
            <c:showVal val="tru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[工作簿1]Sheet1!$A$3:$A$5</c:f>
              <c:strCache>
                <c:ptCount val="3"/>
                <c:pt idx="0">
                  <c:v>因公出国（境）费支出</c:v>
                </c:pt>
                <c:pt idx="1">
                  <c:v>公务用车购置及运行维护费支出</c:v>
                </c:pt>
                <c:pt idx="2">
                  <c:v>公务接待费支出</c:v>
                </c:pt>
              </c:strCache>
            </c:strRef>
          </c:cat>
          <c:val>
            <c:numRef>
              <c:f>[工作簿1]Sheet1!$B$3:$B$5</c:f>
              <c:numCache>
                <c:formatCode>General</c:formatCode>
                <c:ptCount val="3"/>
                <c:pt idx="0">
                  <c:v>0</c:v>
                </c:pt>
                <c:pt idx="1">
                  <c:v>10.18</c:v>
                </c:pt>
                <c:pt idx="2">
                  <c:v>1.32</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24</Pages>
  <Words>1299</Words>
  <Characters>7410</Characters>
  <Lines>61</Lines>
  <Paragraphs>17</Paragraphs>
  <TotalTime>4</TotalTime>
  <ScaleCrop>false</ScaleCrop>
  <LinksUpToDate>false</LinksUpToDate>
  <CharactersWithSpaces>8692</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2020-08-08T17:49:00Z</dcterms:created>
  <dc:creator>曹颖</dc:creator>
  <cp:lastModifiedBy> </cp:lastModifiedBy>
  <cp:lastPrinted>2023-08-03T18:35:00Z</cp:lastPrinted>
  <dcterms:modified xsi:type="dcterms:W3CDTF">2023-10-24T18:03:10Z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6B70361D626A4593B4A9C4A901EC4F63</vt:lpwstr>
  </property>
</Properties>
</file>